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425"/>
      <w:bookmarkStart w:id="3" w:name="_Toc15377193"/>
      <w:bookmarkStart w:id="4" w:name="_Toc15396475"/>
      <w:bookmarkStart w:id="5" w:name="_Toc15378441"/>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8442"/>
      <w:bookmarkStart w:id="8" w:name="_Toc15377426"/>
      <w:bookmarkStart w:id="9" w:name="_Toc15396598"/>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叙永县中医医院</w:t>
      </w:r>
      <w:r>
        <w:rPr>
          <w:rFonts w:hint="eastAsia" w:ascii="方正小标宋简体" w:hAnsi="宋体" w:eastAsia="方正小标宋简体"/>
          <w:color w:val="000000"/>
          <w:sz w:val="72"/>
          <w:szCs w:val="72"/>
        </w:rPr>
        <w:t>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1"/>
      </w:pPr>
      <w:r>
        <w:rPr>
          <w:rFonts w:hint="eastAsia"/>
        </w:rPr>
        <w:t>公开时间：2019年8月29日</w:t>
      </w:r>
    </w:p>
    <w:p/>
    <w:p>
      <w:pPr>
        <w:pStyle w:val="11"/>
        <w:rPr>
          <w:rFonts w:cstheme="minorBidi"/>
        </w:rPr>
      </w:pPr>
      <w:r>
        <w:fldChar w:fldCharType="begin"/>
      </w:r>
      <w:r>
        <w:instrText xml:space="preserve"> HYPERLINK \l "_Toc15396599" </w:instrText>
      </w:r>
      <w:r>
        <w:fldChar w:fldCharType="separate"/>
      </w:r>
      <w:r>
        <w:rPr>
          <w:rStyle w:val="19"/>
          <w:rFonts w:hint="eastAsia"/>
        </w:rPr>
        <w:t>第一部分</w:t>
      </w:r>
      <w:r>
        <w:rPr>
          <w:rStyle w:val="19"/>
        </w:rPr>
        <w:t xml:space="preserve"> </w:t>
      </w:r>
      <w:r>
        <w:rPr>
          <w:rStyle w:val="19"/>
          <w:rFonts w:hint="eastAsia"/>
        </w:rPr>
        <w:t>部门概况</w:t>
      </w:r>
      <w:r>
        <w:tab/>
      </w:r>
      <w:r>
        <w:rPr>
          <w:rFonts w:hint="eastAsia"/>
        </w:rPr>
        <w:t>4</w:t>
      </w:r>
      <w:r>
        <w:rPr>
          <w:rFonts w:hint="eastAsia"/>
        </w:rPr>
        <w:fldChar w:fldCharType="end"/>
      </w:r>
    </w:p>
    <w:p>
      <w:pPr>
        <w:pStyle w:val="12"/>
        <w:rPr>
          <w:rFonts w:ascii="仿宋" w:hAnsi="仿宋" w:eastAsia="仿宋" w:cstheme="minorBidi"/>
          <w:sz w:val="28"/>
          <w:szCs w:val="28"/>
        </w:rPr>
      </w:pPr>
      <w:r>
        <w:fldChar w:fldCharType="begin"/>
      </w:r>
      <w:r>
        <w:instrText xml:space="preserve"> HYPERLINK \l "_Toc15396600" </w:instrText>
      </w:r>
      <w:r>
        <w:fldChar w:fldCharType="separate"/>
      </w:r>
      <w:r>
        <w:rPr>
          <w:rStyle w:val="19"/>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"_Toc15396601" </w:instrText>
      </w:r>
      <w:r>
        <w:fldChar w:fldCharType="separate"/>
      </w:r>
      <w:r>
        <w:rPr>
          <w:rStyle w:val="19"/>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pPr>
      <w:r>
        <w:fldChar w:fldCharType="begin"/>
      </w:r>
      <w:r>
        <w:instrText xml:space="preserve"> HYPERLINK \l "_Toc15396602" </w:instrText>
      </w:r>
      <w:r>
        <w:fldChar w:fldCharType="separate"/>
      </w:r>
      <w:r>
        <w:rPr>
          <w:rStyle w:val="19"/>
          <w:rFonts w:hint="eastAsia"/>
        </w:rPr>
        <w:t>第二部分</w:t>
      </w:r>
      <w:r>
        <w:rPr>
          <w:rStyle w:val="19"/>
        </w:rPr>
        <w:t xml:space="preserve"> 2018</w:t>
      </w:r>
      <w:r>
        <w:rPr>
          <w:rStyle w:val="19"/>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"_Toc15396603" </w:instrText>
      </w:r>
      <w:r>
        <w:fldChar w:fldCharType="separate"/>
      </w:r>
      <w:r>
        <w:rPr>
          <w:rStyle w:val="19"/>
          <w:rFonts w:hint="eastAsia" w:ascii="仿宋" w:hAnsi="仿宋" w:eastAsia="仿宋" w:cstheme="majorBidi"/>
          <w:bCs/>
          <w:sz w:val="28"/>
          <w:szCs w:val="28"/>
        </w:rPr>
        <w:t>一、</w:t>
      </w:r>
      <w:r>
        <w:rPr>
          <w:rStyle w:val="19"/>
          <w:rFonts w:hint="eastAsia" w:ascii="仿宋" w:hAnsi="仿宋" w:eastAsia="仿宋"/>
          <w:sz w:val="28"/>
          <w:szCs w:val="28"/>
        </w:rPr>
        <w:t>收</w:t>
      </w:r>
      <w:r>
        <w:rPr>
          <w:rStyle w:val="19"/>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"_Toc15396604" </w:instrText>
      </w:r>
      <w:r>
        <w:fldChar w:fldCharType="separate"/>
      </w:r>
      <w:r>
        <w:rPr>
          <w:rStyle w:val="19"/>
          <w:rFonts w:hint="eastAsia" w:ascii="仿宋" w:hAnsi="仿宋" w:eastAsia="仿宋" w:cstheme="majorBidi"/>
          <w:bCs/>
          <w:sz w:val="28"/>
          <w:szCs w:val="28"/>
        </w:rPr>
        <w:t>二、</w:t>
      </w:r>
      <w:r>
        <w:rPr>
          <w:rStyle w:val="19"/>
          <w:rFonts w:hint="eastAsia" w:ascii="仿宋" w:hAnsi="仿宋" w:eastAsia="仿宋"/>
          <w:sz w:val="28"/>
          <w:szCs w:val="28"/>
        </w:rPr>
        <w:t>收</w:t>
      </w:r>
      <w:r>
        <w:rPr>
          <w:rStyle w:val="19"/>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"_Toc15396605" </w:instrText>
      </w:r>
      <w:r>
        <w:fldChar w:fldCharType="separate"/>
      </w:r>
      <w:r>
        <w:rPr>
          <w:rStyle w:val="19"/>
          <w:rFonts w:hint="eastAsia" w:ascii="仿宋" w:hAnsi="仿宋" w:eastAsia="仿宋" w:cstheme="majorBidi"/>
          <w:bCs/>
          <w:sz w:val="28"/>
          <w:szCs w:val="28"/>
        </w:rPr>
        <w:t>三、</w:t>
      </w:r>
      <w:r>
        <w:rPr>
          <w:rStyle w:val="19"/>
          <w:rFonts w:hint="eastAsia" w:ascii="仿宋" w:hAnsi="仿宋" w:eastAsia="仿宋"/>
          <w:sz w:val="28"/>
          <w:szCs w:val="28"/>
        </w:rPr>
        <w:t>支</w:t>
      </w:r>
      <w:r>
        <w:rPr>
          <w:rStyle w:val="19"/>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"_Toc15396606" </w:instrText>
      </w:r>
      <w:r>
        <w:fldChar w:fldCharType="separate"/>
      </w:r>
      <w:r>
        <w:rPr>
          <w:rStyle w:val="19"/>
          <w:rFonts w:hint="eastAsia" w:ascii="仿宋" w:hAnsi="仿宋" w:eastAsia="仿宋"/>
          <w:sz w:val="28"/>
          <w:szCs w:val="28"/>
        </w:rPr>
        <w:t>四、财</w:t>
      </w:r>
      <w:r>
        <w:rPr>
          <w:rStyle w:val="19"/>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"_Toc15396607" </w:instrText>
      </w:r>
      <w:r>
        <w:fldChar w:fldCharType="separate"/>
      </w:r>
      <w:r>
        <w:rPr>
          <w:rStyle w:val="19"/>
          <w:rFonts w:hint="eastAsia" w:ascii="仿宋" w:hAnsi="仿宋" w:eastAsia="仿宋"/>
          <w:sz w:val="28"/>
          <w:szCs w:val="28"/>
        </w:rPr>
        <w:t>五、一</w:t>
      </w:r>
      <w:r>
        <w:rPr>
          <w:rStyle w:val="19"/>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"_Toc15396608" </w:instrText>
      </w:r>
      <w:r>
        <w:fldChar w:fldCharType="separate"/>
      </w:r>
      <w:r>
        <w:rPr>
          <w:rStyle w:val="19"/>
          <w:rFonts w:hint="eastAsia" w:ascii="仿宋" w:hAnsi="仿宋" w:eastAsia="仿宋"/>
          <w:sz w:val="28"/>
          <w:szCs w:val="28"/>
        </w:rPr>
        <w:t>六、一</w:t>
      </w:r>
      <w:r>
        <w:rPr>
          <w:rStyle w:val="19"/>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"_Toc15396609" </w:instrText>
      </w:r>
      <w:r>
        <w:fldChar w:fldCharType="separate"/>
      </w:r>
      <w:r>
        <w:rPr>
          <w:rStyle w:val="19"/>
          <w:rFonts w:hint="eastAsia" w:ascii="仿宋" w:hAnsi="仿宋" w:eastAsia="仿宋"/>
          <w:sz w:val="28"/>
          <w:szCs w:val="28"/>
        </w:rPr>
        <w:t>七、</w:t>
      </w:r>
      <w:r>
        <w:rPr>
          <w:rStyle w:val="19"/>
          <w:rFonts w:ascii="仿宋" w:hAnsi="仿宋" w:eastAsia="仿宋"/>
          <w:sz w:val="28"/>
          <w:szCs w:val="28"/>
        </w:rPr>
        <w:t>“</w:t>
      </w:r>
      <w:r>
        <w:rPr>
          <w:rStyle w:val="19"/>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"_Toc15396610" </w:instrText>
      </w:r>
      <w:r>
        <w:fldChar w:fldCharType="separate"/>
      </w:r>
      <w:r>
        <w:rPr>
          <w:rStyle w:val="19"/>
          <w:rFonts w:hint="eastAsia" w:ascii="仿宋" w:hAnsi="仿宋" w:eastAsia="仿宋"/>
          <w:sz w:val="28"/>
          <w:szCs w:val="28"/>
        </w:rPr>
        <w:t>八、</w:t>
      </w:r>
      <w:r>
        <w:rPr>
          <w:rStyle w:val="19"/>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"_Toc15396611" </w:instrText>
      </w:r>
      <w:r>
        <w:fldChar w:fldCharType="separate"/>
      </w:r>
      <w:r>
        <w:rPr>
          <w:rStyle w:val="19"/>
          <w:rFonts w:hint="eastAsia" w:ascii="仿宋" w:hAnsi="仿宋" w:eastAsia="仿宋" w:cstheme="majorBidi"/>
          <w:bCs/>
          <w:sz w:val="28"/>
          <w:szCs w:val="28"/>
        </w:rPr>
        <w:t>九、</w:t>
      </w:r>
      <w:r>
        <w:rPr>
          <w:rStyle w:val="19"/>
          <w:rFonts w:hint="eastAsia" w:ascii="仿宋" w:hAnsi="仿宋" w:eastAsia="仿宋"/>
          <w:sz w:val="28"/>
          <w:szCs w:val="28"/>
        </w:rPr>
        <w:t xml:space="preserve"> 国</w:t>
      </w:r>
      <w:r>
        <w:rPr>
          <w:rStyle w:val="19"/>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"_Toc15396612" </w:instrText>
      </w:r>
      <w:r>
        <w:fldChar w:fldCharType="separate"/>
      </w:r>
      <w:r>
        <w:rPr>
          <w:rStyle w:val="19"/>
          <w:rFonts w:hint="eastAsia" w:ascii="仿宋" w:hAnsi="仿宋" w:eastAsia="仿宋"/>
          <w:sz w:val="28"/>
          <w:szCs w:val="28"/>
        </w:rPr>
        <w:t>十</w:t>
      </w:r>
      <w:r>
        <w:rPr>
          <w:rStyle w:val="19"/>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"_Toc15396613" </w:instrText>
      </w:r>
      <w:r>
        <w:fldChar w:fldCharType="separate"/>
      </w:r>
      <w:r>
        <w:rPr>
          <w:rStyle w:val="19"/>
          <w:rFonts w:hint="eastAsia"/>
          <w:bCs/>
          <w:kern w:val="44"/>
        </w:rPr>
        <w:t>第三部分</w:t>
      </w:r>
      <w:r>
        <w:rPr>
          <w:rStyle w:val="19"/>
          <w:rFonts w:hint="eastAsia"/>
        </w:rPr>
        <w:t xml:space="preserve"> 名</w:t>
      </w:r>
      <w:r>
        <w:rPr>
          <w:rStyle w:val="19"/>
          <w:rFonts w:hint="eastAsia"/>
          <w:bCs/>
          <w:kern w:val="44"/>
        </w:rPr>
        <w:t>词解释</w:t>
      </w:r>
      <w:r>
        <w:tab/>
      </w:r>
      <w:r>
        <w:fldChar w:fldCharType="begin"/>
      </w:r>
      <w:r>
        <w:instrText xml:space="preserve"> PAGEREF _Toc15396613 \h </w:instrText>
      </w:r>
      <w:r>
        <w:fldChar w:fldCharType="separate"/>
      </w:r>
      <w:r>
        <w:t>19</w:t>
      </w:r>
      <w:r>
        <w:fldChar w:fldCharType="end"/>
      </w:r>
      <w:r>
        <w:fldChar w:fldCharType="end"/>
      </w:r>
    </w:p>
    <w:p>
      <w:pPr>
        <w:pStyle w:val="11"/>
        <w:rPr>
          <w:rFonts w:cstheme="minorBidi"/>
        </w:rPr>
      </w:pPr>
      <w:r>
        <w:fldChar w:fldCharType="begin"/>
      </w:r>
      <w:r>
        <w:instrText xml:space="preserve"> HYPERLINK \l "_Toc15396614" </w:instrText>
      </w:r>
      <w:r>
        <w:fldChar w:fldCharType="separate"/>
      </w:r>
      <w:r>
        <w:rPr>
          <w:rStyle w:val="19"/>
          <w:rFonts w:hint="eastAsia"/>
        </w:rPr>
        <w:t>第</w:t>
      </w:r>
      <w:r>
        <w:rPr>
          <w:rStyle w:val="19"/>
          <w:rFonts w:hint="eastAsia"/>
          <w:bCs/>
          <w:kern w:val="44"/>
        </w:rPr>
        <w:t>四部分</w:t>
      </w:r>
      <w:r>
        <w:rPr>
          <w:rStyle w:val="19"/>
          <w:bCs/>
          <w:kern w:val="44"/>
        </w:rPr>
        <w:t xml:space="preserve"> </w:t>
      </w:r>
      <w:r>
        <w:rPr>
          <w:rStyle w:val="19"/>
          <w:rFonts w:hint="eastAsia"/>
          <w:bCs/>
          <w:kern w:val="44"/>
        </w:rPr>
        <w:t>附件</w:t>
      </w:r>
      <w:r>
        <w:tab/>
      </w:r>
      <w:r>
        <w:fldChar w:fldCharType="begin"/>
      </w:r>
      <w:r>
        <w:instrText xml:space="preserve"> PAGEREF _Toc15396614 \h </w:instrText>
      </w:r>
      <w:r>
        <w:fldChar w:fldCharType="separate"/>
      </w:r>
      <w:r>
        <w:t>23</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"_Toc15396615" </w:instrText>
      </w:r>
      <w:r>
        <w:fldChar w:fldCharType="separate"/>
      </w:r>
      <w:r>
        <w:rPr>
          <w:rStyle w:val="19"/>
          <w:rFonts w:hint="eastAsia" w:ascii="仿宋" w:hAnsi="仿宋" w:eastAsia="仿宋"/>
          <w:kern w:val="44"/>
          <w:sz w:val="28"/>
          <w:szCs w:val="28"/>
        </w:rPr>
        <w:t>附件</w:t>
      </w:r>
      <w:r>
        <w:rPr>
          <w:rStyle w:val="19"/>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"_Toc15396617" </w:instrText>
      </w:r>
      <w:r>
        <w:fldChar w:fldCharType="separate"/>
      </w:r>
      <w:r>
        <w:rPr>
          <w:rStyle w:val="19"/>
          <w:rFonts w:hint="eastAsia" w:ascii="仿宋" w:hAnsi="仿宋" w:eastAsia="仿宋"/>
          <w:kern w:val="44"/>
          <w:sz w:val="28"/>
          <w:szCs w:val="28"/>
        </w:rPr>
        <w:t>附件</w:t>
      </w:r>
      <w:r>
        <w:rPr>
          <w:rStyle w:val="19"/>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"_Toc15396618" </w:instrText>
      </w:r>
      <w:r>
        <w:fldChar w:fldCharType="separate"/>
      </w:r>
      <w:r>
        <w:rPr>
          <w:rStyle w:val="19"/>
          <w:rFonts w:hint="eastAsia"/>
        </w:rPr>
        <w:t>第</w:t>
      </w:r>
      <w:r>
        <w:rPr>
          <w:rStyle w:val="19"/>
          <w:rFonts w:hint="eastAsia"/>
          <w:bCs/>
          <w:kern w:val="44"/>
        </w:rPr>
        <w:t>五部分</w:t>
      </w:r>
      <w:r>
        <w:rPr>
          <w:rStyle w:val="19"/>
          <w:bCs/>
          <w:kern w:val="44"/>
        </w:rPr>
        <w:t xml:space="preserve"> </w:t>
      </w:r>
      <w:r>
        <w:rPr>
          <w:rStyle w:val="19"/>
          <w:rFonts w:hint="eastAsia"/>
          <w:bCs/>
          <w:kern w:val="44"/>
        </w:rPr>
        <w:t>附表</w:t>
      </w:r>
      <w:r>
        <w:tab/>
      </w:r>
      <w:r>
        <w:fldChar w:fldCharType="begin"/>
      </w:r>
      <w:r>
        <w:instrText xml:space="preserve"> PAGEREF _Toc15396618 \h </w:instrText>
      </w:r>
      <w:r>
        <w:fldChar w:fldCharType="separate"/>
      </w:r>
      <w:r>
        <w:t>28</w:t>
      </w:r>
      <w:r>
        <w:fldChar w:fldCharType="end"/>
      </w:r>
      <w:r>
        <w:fldChar w:fldCharType="end"/>
      </w:r>
    </w:p>
    <w:p>
      <w:pPr>
        <w:pStyle w:val="12"/>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9"/>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9"/>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9"/>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9"/>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9"/>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9"/>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9"/>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9"/>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9"/>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9"/>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9"/>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9"/>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8"/>
          <w:rFonts w:ascii="黑体" w:hAnsi="黑体" w:eastAsia="黑体"/>
          <w:b/>
          <w:bCs w:val="0"/>
        </w:rPr>
      </w:pPr>
      <w:r>
        <w:rPr>
          <w:rFonts w:hint="eastAsia" w:ascii="黑体" w:hAnsi="黑体" w:eastAsia="黑体"/>
          <w:b w:val="0"/>
        </w:rPr>
        <w:t xml:space="preserve">第一部分 </w:t>
      </w:r>
      <w:r>
        <w:rPr>
          <w:rStyle w:val="28"/>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9"/>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9"/>
          <w:rFonts w:hint="eastAsia" w:ascii="黑体" w:hAnsi="黑体" w:eastAsia="黑体"/>
          <w:b w:val="0"/>
          <w:bCs w:val="0"/>
        </w:rPr>
        <w:t>本职能及主要工作</w:t>
      </w:r>
      <w:bookmarkEnd w:id="14"/>
      <w:bookmarkEnd w:id="15"/>
    </w:p>
    <w:p>
      <w:pPr>
        <w:pStyle w:val="7"/>
        <w:rPr>
          <w:rFonts w:hint="eastAsia" w:ascii="仿宋" w:hAnsi="仿宋" w:eastAsia="仿宋" w:cs="仿宋"/>
          <w:sz w:val="32"/>
          <w:szCs w:val="32"/>
        </w:rPr>
      </w:pPr>
      <w:bookmarkStart w:id="16" w:name="_Toc15396601"/>
      <w:bookmarkStart w:id="17" w:name="_Toc15377200"/>
      <w:r>
        <w:rPr>
          <w:rFonts w:hint="eastAsia" w:ascii="仿宋" w:hAnsi="仿宋" w:eastAsia="仿宋" w:cs="仿宋"/>
          <w:sz w:val="32"/>
          <w:szCs w:val="32"/>
        </w:rPr>
        <w:t xml:space="preserve"> 叙永县中医医院位于西南重要出海通道321国道、叙永县环城大道南段129号医院占地8839㎡，门诊和住院大楼12429㎡，正在修建医院综合大楼8600㎡。经批准开放病床230张。是叙永县中医医疗、教学、科研基地及中医、中西医结合医院，国家二级甲等医院；泸州市“120”二级急救医院；泸州市交通事故定点急救二级医院；叙永县劳动和社会保障局基本医疗定点医院；新型农村合作医疗定点医院；叙永县财保公司、人保公司、中华保险公司定点医院和矿难急救医院。</w:t>
      </w:r>
    </w:p>
    <w:p>
      <w:pPr>
        <w:pStyle w:val="3"/>
        <w:rPr>
          <w:rStyle w:val="29"/>
          <w:b w:val="0"/>
          <w:bCs w:val="0"/>
        </w:rPr>
      </w:pPr>
      <w:r>
        <w:rPr>
          <w:rFonts w:hint="eastAsia" w:ascii="黑体" w:eastAsia="黑体"/>
          <w:b w:val="0"/>
          <w:color w:val="000000"/>
        </w:rPr>
        <w:t>二、</w:t>
      </w:r>
      <w:r>
        <w:rPr>
          <w:rFonts w:hint="eastAsia" w:ascii="黑体" w:hAnsi="黑体" w:eastAsia="黑体"/>
          <w:b w:val="0"/>
          <w:color w:val="000000"/>
        </w:rPr>
        <w:t>机</w:t>
      </w:r>
      <w:r>
        <w:rPr>
          <w:rStyle w:val="29"/>
          <w:rFonts w:hint="eastAsia" w:ascii="黑体" w:hAnsi="黑体" w:eastAsia="黑体"/>
          <w:b w:val="0"/>
          <w:bCs w:val="0"/>
        </w:rPr>
        <w:t>构设置</w:t>
      </w:r>
      <w:bookmarkEnd w:id="16"/>
      <w:bookmarkEnd w:id="17"/>
    </w:p>
    <w:p>
      <w:pPr>
        <w:pStyle w:val="7"/>
        <w:rPr>
          <w:rFonts w:ascii="仿宋" w:hAnsi="仿宋" w:eastAsia="仿宋"/>
          <w:color w:val="000000"/>
          <w:kern w:val="0"/>
          <w:sz w:val="32"/>
          <w:szCs w:val="32"/>
        </w:rPr>
      </w:pPr>
      <w:r>
        <w:rPr>
          <w:rFonts w:hint="eastAsia" w:ascii="仿宋" w:hAnsi="仿宋" w:eastAsia="仿宋" w:cs="仿宋"/>
          <w:sz w:val="32"/>
          <w:szCs w:val="32"/>
        </w:rPr>
        <w:t>我院预算单位1个，无二级预算单位。</w:t>
      </w:r>
      <w:r>
        <w:rPr>
          <w:rFonts w:hint="eastAsia" w:ascii="仿宋" w:hAnsi="仿宋" w:eastAsia="仿宋" w:cs="仿宋"/>
          <w:sz w:val="32"/>
          <w:szCs w:val="32"/>
          <w:lang w:val="en-US" w:eastAsia="zh-CN"/>
        </w:rPr>
        <w:t>2018年单位编制人数238人，</w:t>
      </w:r>
      <w:r>
        <w:rPr>
          <w:rFonts w:hint="eastAsia" w:ascii="仿宋" w:hAnsi="仿宋" w:eastAsia="仿宋" w:cs="仿宋"/>
          <w:sz w:val="32"/>
          <w:szCs w:val="32"/>
          <w:highlight w:val="none"/>
          <w:lang w:val="en-US" w:eastAsia="zh-CN"/>
        </w:rPr>
        <w:t>实际在编142人，招聘人员177人。</w:t>
      </w:r>
      <w:r>
        <w:rPr>
          <w:rFonts w:ascii="仿宋" w:hAnsi="仿宋" w:eastAsia="仿宋"/>
          <w:color w:val="000000"/>
          <w:sz w:val="32"/>
          <w:szCs w:val="32"/>
        </w:rPr>
        <w:br w:type="page"/>
      </w:r>
    </w:p>
    <w:p>
      <w:pPr>
        <w:pStyle w:val="2"/>
        <w:ind w:right="440"/>
        <w:jc w:val="both"/>
        <w:rPr>
          <w:rStyle w:val="28"/>
          <w:rFonts w:ascii="黑体" w:hAnsi="黑体" w:eastAsia="黑体"/>
          <w:b w:val="0"/>
          <w:bCs w:val="0"/>
        </w:rPr>
      </w:pPr>
      <w:bookmarkStart w:id="18" w:name="_Toc15377204"/>
      <w:bookmarkStart w:id="19"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8"/>
          <w:rFonts w:hint="eastAsia" w:ascii="黑体" w:hAnsi="黑体" w:eastAsia="黑体"/>
          <w:b w:val="0"/>
          <w:bCs w:val="0"/>
        </w:rPr>
        <w:t>2018年度部门决算情况说明</w:t>
      </w:r>
      <w:bookmarkEnd w:id="18"/>
      <w:bookmarkEnd w:id="19"/>
    </w:p>
    <w:p/>
    <w:p>
      <w:pPr>
        <w:pStyle w:val="27"/>
        <w:numPr>
          <w:ilvl w:val="0"/>
          <w:numId w:val="1"/>
        </w:numPr>
        <w:spacing w:line="600" w:lineRule="exact"/>
        <w:ind w:firstLineChars="0"/>
        <w:outlineLvl w:val="1"/>
        <w:rPr>
          <w:rStyle w:val="29"/>
          <w:rFonts w:ascii="黑体" w:hAnsi="黑体" w:eastAsia="黑体"/>
          <w:b w:val="0"/>
        </w:rPr>
      </w:pPr>
      <w:bookmarkStart w:id="20" w:name="_Toc15377205"/>
      <w:bookmarkStart w:id="21" w:name="_Toc15396603"/>
      <w:r>
        <w:rPr>
          <w:rFonts w:hint="eastAsia" w:ascii="黑体" w:hAnsi="黑体" w:eastAsia="黑体"/>
          <w:color w:val="000000"/>
          <w:sz w:val="32"/>
          <w:szCs w:val="32"/>
        </w:rPr>
        <w:t>收</w:t>
      </w:r>
      <w:r>
        <w:rPr>
          <w:rStyle w:val="29"/>
          <w:rFonts w:hint="eastAsia" w:ascii="黑体" w:hAnsi="黑体" w:eastAsia="黑体"/>
          <w:b w:val="0"/>
        </w:rPr>
        <w:t>入支出决算总体情况说明</w:t>
      </w:r>
      <w:bookmarkEnd w:id="20"/>
      <w:bookmarkEnd w:id="21"/>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2018年叙永县中医医院总收入10491</w:t>
      </w:r>
      <w:r>
        <w:rPr>
          <w:rFonts w:hint="eastAsia" w:ascii="仿宋" w:hAnsi="仿宋" w:eastAsia="仿宋" w:cs="仿宋"/>
          <w:sz w:val="32"/>
          <w:szCs w:val="32"/>
          <w:lang w:val="en-US" w:eastAsia="zh-CN"/>
        </w:rPr>
        <w:t>.</w:t>
      </w:r>
      <w:r>
        <w:rPr>
          <w:rFonts w:hint="eastAsia" w:ascii="仿宋" w:hAnsi="仿宋" w:eastAsia="仿宋" w:cs="仿宋"/>
          <w:sz w:val="32"/>
          <w:szCs w:val="32"/>
        </w:rPr>
        <w:t>59</w:t>
      </w:r>
      <w:r>
        <w:rPr>
          <w:rFonts w:hint="eastAsia" w:ascii="仿宋" w:hAnsi="仿宋" w:eastAsia="仿宋" w:cs="仿宋"/>
          <w:sz w:val="32"/>
          <w:szCs w:val="32"/>
          <w:lang w:val="en-US" w:eastAsia="zh-CN"/>
        </w:rPr>
        <w:t>万</w:t>
      </w:r>
      <w:r>
        <w:rPr>
          <w:rFonts w:hint="eastAsia" w:ascii="仿宋" w:hAnsi="仿宋" w:eastAsia="仿宋" w:cs="仿宋"/>
          <w:sz w:val="32"/>
          <w:szCs w:val="32"/>
        </w:rPr>
        <w:t>元，其中财政拨款预算总额为579</w:t>
      </w:r>
      <w:r>
        <w:rPr>
          <w:rFonts w:hint="eastAsia" w:ascii="仿宋" w:hAnsi="仿宋" w:eastAsia="仿宋" w:cs="仿宋"/>
          <w:sz w:val="32"/>
          <w:szCs w:val="32"/>
          <w:lang w:val="en-US" w:eastAsia="zh-CN"/>
        </w:rPr>
        <w:t>.</w:t>
      </w:r>
      <w:r>
        <w:rPr>
          <w:rFonts w:hint="eastAsia" w:ascii="仿宋" w:hAnsi="仿宋" w:eastAsia="仿宋" w:cs="仿宋"/>
          <w:sz w:val="32"/>
          <w:szCs w:val="32"/>
        </w:rPr>
        <w:t>73</w:t>
      </w:r>
      <w:r>
        <w:rPr>
          <w:rFonts w:hint="eastAsia" w:ascii="仿宋" w:hAnsi="仿宋" w:eastAsia="仿宋" w:cs="仿宋"/>
          <w:sz w:val="32"/>
          <w:szCs w:val="32"/>
          <w:lang w:val="en-US" w:eastAsia="zh-CN"/>
        </w:rPr>
        <w:t>万</w:t>
      </w:r>
      <w:r>
        <w:rPr>
          <w:rFonts w:hint="eastAsia" w:ascii="仿宋" w:hAnsi="仿宋" w:eastAsia="仿宋" w:cs="仿宋"/>
          <w:sz w:val="32"/>
          <w:szCs w:val="32"/>
        </w:rPr>
        <w:t>元，</w:t>
      </w:r>
      <w:r>
        <w:rPr>
          <w:rFonts w:hint="eastAsia" w:ascii="仿宋" w:hAnsi="仿宋" w:eastAsia="仿宋" w:cs="仿宋"/>
          <w:color w:val="000000"/>
          <w:sz w:val="32"/>
          <w:szCs w:val="32"/>
        </w:rPr>
        <w:t>占5.53%，</w:t>
      </w:r>
      <w:r>
        <w:rPr>
          <w:rFonts w:hint="eastAsia" w:ascii="仿宋" w:hAnsi="仿宋" w:eastAsia="仿宋" w:cs="仿宋"/>
          <w:sz w:val="32"/>
          <w:szCs w:val="32"/>
        </w:rPr>
        <w:t>医疗收入9826</w:t>
      </w:r>
      <w:r>
        <w:rPr>
          <w:rFonts w:hint="eastAsia" w:ascii="仿宋" w:hAnsi="仿宋" w:eastAsia="仿宋" w:cs="仿宋"/>
          <w:sz w:val="32"/>
          <w:szCs w:val="32"/>
          <w:lang w:val="en-US" w:eastAsia="zh-CN"/>
        </w:rPr>
        <w:t>.</w:t>
      </w:r>
      <w:r>
        <w:rPr>
          <w:rFonts w:hint="eastAsia" w:ascii="仿宋" w:hAnsi="仿宋" w:eastAsia="仿宋" w:cs="仿宋"/>
          <w:sz w:val="32"/>
          <w:szCs w:val="32"/>
        </w:rPr>
        <w:t>39</w:t>
      </w:r>
      <w:r>
        <w:rPr>
          <w:rFonts w:hint="eastAsia" w:ascii="仿宋" w:hAnsi="仿宋" w:eastAsia="仿宋" w:cs="仿宋"/>
          <w:sz w:val="32"/>
          <w:szCs w:val="32"/>
          <w:lang w:val="en-US" w:eastAsia="zh-CN"/>
        </w:rPr>
        <w:t>万</w:t>
      </w:r>
      <w:r>
        <w:rPr>
          <w:rFonts w:hint="eastAsia" w:ascii="仿宋" w:hAnsi="仿宋" w:eastAsia="仿宋" w:cs="仿宋"/>
          <w:sz w:val="32"/>
          <w:szCs w:val="32"/>
        </w:rPr>
        <w:t>元，占93.66%，增长的主要原因是医疗收入增加，财政拨款增加</w:t>
      </w:r>
      <w:r>
        <w:rPr>
          <w:rFonts w:hint="eastAsia" w:ascii="仿宋" w:hAnsi="仿宋" w:eastAsia="仿宋" w:cs="仿宋"/>
          <w:sz w:val="32"/>
          <w:szCs w:val="32"/>
          <w:lang w:eastAsia="zh-CN"/>
        </w:rPr>
        <w:t>。</w:t>
      </w:r>
    </w:p>
    <w:p>
      <w:pPr>
        <w:pStyle w:val="7"/>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2018年叙永县中医医院总支出10306</w:t>
      </w:r>
      <w:r>
        <w:rPr>
          <w:rFonts w:hint="eastAsia" w:ascii="仿宋" w:hAnsi="仿宋" w:eastAsia="仿宋" w:cs="仿宋"/>
          <w:sz w:val="32"/>
          <w:szCs w:val="32"/>
          <w:lang w:val="en-US" w:eastAsia="zh-CN"/>
        </w:rPr>
        <w:t>.</w:t>
      </w:r>
      <w:r>
        <w:rPr>
          <w:rFonts w:hint="eastAsia" w:ascii="仿宋" w:hAnsi="仿宋" w:eastAsia="仿宋" w:cs="仿宋"/>
          <w:sz w:val="32"/>
          <w:szCs w:val="32"/>
        </w:rPr>
        <w:t>84</w:t>
      </w:r>
      <w:r>
        <w:rPr>
          <w:rFonts w:hint="eastAsia" w:ascii="仿宋" w:hAnsi="仿宋" w:eastAsia="仿宋" w:cs="仿宋"/>
          <w:sz w:val="32"/>
          <w:szCs w:val="32"/>
          <w:lang w:val="en-US" w:eastAsia="zh-CN"/>
        </w:rPr>
        <w:t>万</w:t>
      </w:r>
      <w:r>
        <w:rPr>
          <w:rFonts w:hint="eastAsia" w:ascii="仿宋" w:hAnsi="仿宋" w:eastAsia="仿宋" w:cs="仿宋"/>
          <w:sz w:val="32"/>
          <w:szCs w:val="32"/>
        </w:rPr>
        <w:t>元，其中财政拨款基本支出为55</w:t>
      </w:r>
      <w:r>
        <w:rPr>
          <w:rFonts w:hint="eastAsia" w:ascii="仿宋" w:hAnsi="仿宋" w:eastAsia="仿宋" w:cs="仿宋"/>
          <w:sz w:val="32"/>
          <w:szCs w:val="32"/>
          <w:lang w:val="en-US" w:eastAsia="zh-CN"/>
        </w:rPr>
        <w:t>.</w:t>
      </w:r>
      <w:r>
        <w:rPr>
          <w:rFonts w:hint="eastAsia" w:ascii="仿宋" w:hAnsi="仿宋" w:eastAsia="仿宋" w:cs="仿宋"/>
          <w:sz w:val="32"/>
          <w:szCs w:val="32"/>
        </w:rPr>
        <w:t>55</w:t>
      </w:r>
      <w:r>
        <w:rPr>
          <w:rFonts w:hint="eastAsia" w:ascii="仿宋" w:hAnsi="仿宋" w:eastAsia="仿宋" w:cs="仿宋"/>
          <w:sz w:val="32"/>
          <w:szCs w:val="32"/>
          <w:lang w:val="en-US" w:eastAsia="zh-CN"/>
        </w:rPr>
        <w:t>万</w:t>
      </w:r>
      <w:r>
        <w:rPr>
          <w:rFonts w:hint="eastAsia" w:ascii="仿宋" w:hAnsi="仿宋" w:eastAsia="仿宋" w:cs="仿宋"/>
          <w:sz w:val="32"/>
          <w:szCs w:val="32"/>
        </w:rPr>
        <w:t>元，占0.53%，财政拨款项目支出为261</w:t>
      </w:r>
      <w:r>
        <w:rPr>
          <w:rFonts w:hint="eastAsia" w:ascii="仿宋" w:hAnsi="仿宋" w:eastAsia="仿宋" w:cs="仿宋"/>
          <w:sz w:val="32"/>
          <w:szCs w:val="32"/>
          <w:lang w:val="en-US" w:eastAsia="zh-CN"/>
        </w:rPr>
        <w:t>.</w:t>
      </w:r>
      <w:r>
        <w:rPr>
          <w:rFonts w:hint="eastAsia" w:ascii="仿宋" w:hAnsi="仿宋" w:eastAsia="仿宋" w:cs="仿宋"/>
          <w:sz w:val="32"/>
          <w:szCs w:val="32"/>
        </w:rPr>
        <w:t>38</w:t>
      </w:r>
      <w:r>
        <w:rPr>
          <w:rFonts w:hint="eastAsia" w:ascii="仿宋" w:hAnsi="仿宋" w:eastAsia="仿宋" w:cs="仿宋"/>
          <w:sz w:val="32"/>
          <w:szCs w:val="32"/>
          <w:lang w:val="en-US" w:eastAsia="zh-CN"/>
        </w:rPr>
        <w:t>万</w:t>
      </w:r>
      <w:r>
        <w:rPr>
          <w:rFonts w:hint="eastAsia" w:ascii="仿宋" w:hAnsi="仿宋" w:eastAsia="仿宋" w:cs="仿宋"/>
          <w:sz w:val="32"/>
          <w:szCs w:val="32"/>
        </w:rPr>
        <w:t>元，占2.53%</w:t>
      </w:r>
      <w:r>
        <w:rPr>
          <w:rFonts w:hint="eastAsia" w:ascii="仿宋" w:hAnsi="仿宋" w:eastAsia="仿宋" w:cs="仿宋"/>
          <w:sz w:val="32"/>
          <w:szCs w:val="32"/>
          <w:lang w:eastAsia="zh-CN"/>
        </w:rPr>
        <w:t>。</w:t>
      </w:r>
    </w:p>
    <w:p>
      <w:pPr>
        <w:spacing w:line="600" w:lineRule="exact"/>
        <w:ind w:firstLine="640" w:firstLineChars="200"/>
        <w:rPr>
          <w:rFonts w:hint="eastAsia" w:ascii="仿宋" w:hAnsi="仿宋" w:eastAsia="仿宋" w:cs="仿宋"/>
          <w:sz w:val="32"/>
          <w:szCs w:val="32"/>
          <w:lang w:eastAsia="zh-CN"/>
        </w:rPr>
      </w:pPr>
    </w:p>
    <w:p>
      <w:pPr>
        <w:spacing w:line="600" w:lineRule="exact"/>
        <w:jc w:val="left"/>
        <w:rPr>
          <w:rFonts w:ascii="仿宋_GB2312" w:eastAsia="仿宋_GB2312"/>
          <w:color w:val="000000"/>
          <w:sz w:val="32"/>
          <w:szCs w:val="32"/>
        </w:rPr>
      </w:pPr>
      <w:r>
        <w:rPr>
          <w:rFonts w:hint="eastAsia"/>
        </w:rPr>
        <w:drawing>
          <wp:anchor distT="0" distB="0" distL="114300" distR="114300" simplePos="0" relativeHeight="251658240" behindDoc="1" locked="0" layoutInCell="1" allowOverlap="1">
            <wp:simplePos x="0" y="0"/>
            <wp:positionH relativeFrom="column">
              <wp:posOffset>-52705</wp:posOffset>
            </wp:positionH>
            <wp:positionV relativeFrom="paragraph">
              <wp:posOffset>13970</wp:posOffset>
            </wp:positionV>
            <wp:extent cx="5166995" cy="4030980"/>
            <wp:effectExtent l="4445" t="4445" r="10160" b="22225"/>
            <wp:wrapNone/>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27"/>
        <w:numPr>
          <w:ilvl w:val="0"/>
          <w:numId w:val="1"/>
        </w:numPr>
        <w:spacing w:line="600" w:lineRule="exact"/>
        <w:ind w:firstLineChars="0"/>
        <w:outlineLvl w:val="1"/>
        <w:rPr>
          <w:rStyle w:val="29"/>
          <w:rFonts w:ascii="黑体" w:hAnsi="黑体" w:eastAsia="黑体"/>
          <w:b w:val="0"/>
        </w:rPr>
      </w:pPr>
      <w:bookmarkStart w:id="22" w:name="_Toc15377206"/>
      <w:bookmarkStart w:id="23" w:name="_Toc15396604"/>
      <w:r>
        <w:rPr>
          <w:rFonts w:hint="eastAsia" w:ascii="黑体" w:hAnsi="黑体" w:eastAsia="黑体"/>
          <w:color w:val="000000"/>
          <w:sz w:val="32"/>
          <w:szCs w:val="32"/>
        </w:rPr>
        <w:t>收</w:t>
      </w:r>
      <w:r>
        <w:rPr>
          <w:rStyle w:val="29"/>
          <w:rFonts w:hint="eastAsia" w:ascii="黑体" w:hAnsi="黑体" w:eastAsia="黑体"/>
          <w:b w:val="0"/>
        </w:rPr>
        <w:t>入决算情况说明</w:t>
      </w:r>
      <w:bookmarkEnd w:id="22"/>
      <w:bookmarkEnd w:id="23"/>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 xml:space="preserve"> 2018年叙永县中医医院总收入10491</w:t>
      </w:r>
      <w:r>
        <w:rPr>
          <w:rFonts w:hint="eastAsia" w:ascii="仿宋" w:hAnsi="仿宋" w:eastAsia="仿宋" w:cs="仿宋"/>
          <w:sz w:val="32"/>
          <w:szCs w:val="32"/>
          <w:lang w:val="en-US" w:eastAsia="zh-CN"/>
        </w:rPr>
        <w:t>.</w:t>
      </w:r>
      <w:r>
        <w:rPr>
          <w:rFonts w:hint="eastAsia" w:ascii="仿宋" w:hAnsi="仿宋" w:eastAsia="仿宋" w:cs="仿宋"/>
          <w:sz w:val="32"/>
          <w:szCs w:val="32"/>
        </w:rPr>
        <w:t>59</w:t>
      </w:r>
      <w:r>
        <w:rPr>
          <w:rFonts w:hint="eastAsia" w:ascii="仿宋" w:hAnsi="仿宋" w:eastAsia="仿宋" w:cs="仿宋"/>
          <w:sz w:val="32"/>
          <w:szCs w:val="32"/>
          <w:lang w:val="en-US" w:eastAsia="zh-CN"/>
        </w:rPr>
        <w:t>万</w:t>
      </w:r>
      <w:r>
        <w:rPr>
          <w:rFonts w:hint="eastAsia" w:ascii="仿宋" w:hAnsi="仿宋" w:eastAsia="仿宋" w:cs="仿宋"/>
          <w:sz w:val="32"/>
          <w:szCs w:val="32"/>
        </w:rPr>
        <w:t>元，其中财政拨款预算总额为579</w:t>
      </w:r>
      <w:r>
        <w:rPr>
          <w:rFonts w:hint="eastAsia" w:ascii="仿宋" w:hAnsi="仿宋" w:eastAsia="仿宋" w:cs="仿宋"/>
          <w:sz w:val="32"/>
          <w:szCs w:val="32"/>
          <w:lang w:val="en-US" w:eastAsia="zh-CN"/>
        </w:rPr>
        <w:t>.</w:t>
      </w:r>
      <w:r>
        <w:rPr>
          <w:rFonts w:hint="eastAsia" w:ascii="仿宋" w:hAnsi="仿宋" w:eastAsia="仿宋" w:cs="仿宋"/>
          <w:sz w:val="32"/>
          <w:szCs w:val="32"/>
        </w:rPr>
        <w:t>73</w:t>
      </w:r>
      <w:r>
        <w:rPr>
          <w:rFonts w:hint="eastAsia" w:ascii="仿宋" w:hAnsi="仿宋" w:eastAsia="仿宋" w:cs="仿宋"/>
          <w:sz w:val="32"/>
          <w:szCs w:val="32"/>
          <w:lang w:val="en-US" w:eastAsia="zh-CN"/>
        </w:rPr>
        <w:t>万</w:t>
      </w:r>
      <w:r>
        <w:rPr>
          <w:rFonts w:hint="eastAsia" w:ascii="仿宋" w:hAnsi="仿宋" w:eastAsia="仿宋" w:cs="仿宋"/>
          <w:sz w:val="32"/>
          <w:szCs w:val="32"/>
        </w:rPr>
        <w:t>元，</w:t>
      </w:r>
      <w:r>
        <w:rPr>
          <w:rFonts w:hint="eastAsia" w:ascii="仿宋" w:hAnsi="仿宋" w:eastAsia="仿宋" w:cs="仿宋"/>
          <w:color w:val="000000"/>
          <w:sz w:val="32"/>
          <w:szCs w:val="32"/>
        </w:rPr>
        <w:t>占5.53%，</w:t>
      </w:r>
      <w:r>
        <w:rPr>
          <w:rFonts w:hint="eastAsia" w:ascii="仿宋" w:hAnsi="仿宋" w:eastAsia="仿宋" w:cs="仿宋"/>
          <w:sz w:val="32"/>
          <w:szCs w:val="32"/>
        </w:rPr>
        <w:t>医疗收入9826</w:t>
      </w:r>
      <w:r>
        <w:rPr>
          <w:rFonts w:hint="eastAsia" w:ascii="仿宋" w:hAnsi="仿宋" w:eastAsia="仿宋" w:cs="仿宋"/>
          <w:sz w:val="32"/>
          <w:szCs w:val="32"/>
          <w:lang w:val="en-US" w:eastAsia="zh-CN"/>
        </w:rPr>
        <w:t>.</w:t>
      </w:r>
      <w:r>
        <w:rPr>
          <w:rFonts w:hint="eastAsia" w:ascii="仿宋" w:hAnsi="仿宋" w:eastAsia="仿宋" w:cs="仿宋"/>
          <w:sz w:val="32"/>
          <w:szCs w:val="32"/>
        </w:rPr>
        <w:t>39</w:t>
      </w:r>
      <w:r>
        <w:rPr>
          <w:rFonts w:hint="eastAsia" w:ascii="仿宋" w:hAnsi="仿宋" w:eastAsia="仿宋" w:cs="仿宋"/>
          <w:sz w:val="32"/>
          <w:szCs w:val="32"/>
          <w:lang w:val="en-US" w:eastAsia="zh-CN"/>
        </w:rPr>
        <w:t>万</w:t>
      </w:r>
      <w:r>
        <w:rPr>
          <w:rFonts w:hint="eastAsia" w:ascii="仿宋" w:hAnsi="仿宋" w:eastAsia="仿宋" w:cs="仿宋"/>
          <w:sz w:val="32"/>
          <w:szCs w:val="32"/>
        </w:rPr>
        <w:t>元，占93.66%，其他收入85</w:t>
      </w:r>
      <w:r>
        <w:rPr>
          <w:rFonts w:hint="eastAsia" w:ascii="仿宋" w:hAnsi="仿宋" w:eastAsia="仿宋" w:cs="仿宋"/>
          <w:sz w:val="32"/>
          <w:szCs w:val="32"/>
          <w:lang w:val="en-US" w:eastAsia="zh-CN"/>
        </w:rPr>
        <w:t>.</w:t>
      </w:r>
      <w:r>
        <w:rPr>
          <w:rFonts w:hint="eastAsia" w:ascii="仿宋" w:hAnsi="仿宋" w:eastAsia="仿宋" w:cs="仿宋"/>
          <w:sz w:val="32"/>
          <w:szCs w:val="32"/>
        </w:rPr>
        <w:t>45</w:t>
      </w:r>
      <w:r>
        <w:rPr>
          <w:rFonts w:hint="eastAsia" w:ascii="仿宋" w:hAnsi="仿宋" w:eastAsia="仿宋" w:cs="仿宋"/>
          <w:sz w:val="32"/>
          <w:szCs w:val="32"/>
          <w:lang w:val="en-US" w:eastAsia="zh-CN"/>
        </w:rPr>
        <w:t>万</w:t>
      </w:r>
      <w:r>
        <w:rPr>
          <w:rFonts w:hint="eastAsia" w:ascii="仿宋" w:hAnsi="仿宋" w:eastAsia="仿宋" w:cs="仿宋"/>
          <w:sz w:val="32"/>
          <w:szCs w:val="32"/>
        </w:rPr>
        <w:t>元，占0.81%。2018年总收入较2017年增加1874</w:t>
      </w:r>
      <w:r>
        <w:rPr>
          <w:rFonts w:hint="eastAsia" w:ascii="仿宋" w:hAnsi="仿宋" w:eastAsia="仿宋" w:cs="仿宋"/>
          <w:sz w:val="32"/>
          <w:szCs w:val="32"/>
          <w:lang w:val="en-US" w:eastAsia="zh-CN"/>
        </w:rPr>
        <w:t>.</w:t>
      </w:r>
      <w:r>
        <w:rPr>
          <w:rFonts w:hint="eastAsia" w:ascii="仿宋" w:hAnsi="仿宋" w:eastAsia="仿宋" w:cs="仿宋"/>
          <w:sz w:val="32"/>
          <w:szCs w:val="32"/>
        </w:rPr>
        <w:t>75</w:t>
      </w:r>
      <w:r>
        <w:rPr>
          <w:rFonts w:hint="eastAsia" w:ascii="仿宋" w:hAnsi="仿宋" w:eastAsia="仿宋" w:cs="仿宋"/>
          <w:sz w:val="32"/>
          <w:szCs w:val="32"/>
          <w:lang w:val="en-US" w:eastAsia="zh-CN"/>
        </w:rPr>
        <w:t>万</w:t>
      </w:r>
      <w:r>
        <w:rPr>
          <w:rFonts w:hint="eastAsia" w:ascii="仿宋" w:hAnsi="仿宋" w:eastAsia="仿宋" w:cs="仿宋"/>
          <w:sz w:val="32"/>
          <w:szCs w:val="32"/>
        </w:rPr>
        <w:t>元，增长21.76%。增长的主要原因是医疗收入增加，财政拨款增加</w:t>
      </w:r>
      <w:r>
        <w:rPr>
          <w:rFonts w:hint="eastAsia" w:ascii="仿宋" w:hAnsi="仿宋" w:eastAsia="仿宋" w:cs="仿宋"/>
          <w:sz w:val="32"/>
          <w:szCs w:val="32"/>
          <w:lang w:eastAsia="zh-CN"/>
        </w:rPr>
        <w:t>。</w:t>
      </w:r>
    </w:p>
    <w:p>
      <w:pPr>
        <w:spacing w:line="600" w:lineRule="exact"/>
        <w:ind w:firstLine="640" w:firstLineChars="200"/>
        <w:rPr>
          <w:rFonts w:hint="eastAsia" w:ascii="仿宋" w:hAnsi="仿宋" w:eastAsia="仿宋" w:cs="仿宋"/>
          <w:sz w:val="32"/>
          <w:szCs w:val="32"/>
          <w:lang w:eastAsia="zh-CN"/>
        </w:rPr>
      </w:pPr>
    </w:p>
    <w:p>
      <w:pPr>
        <w:spacing w:line="600" w:lineRule="exact"/>
        <w:ind w:firstLine="640" w:firstLineChars="200"/>
        <w:rPr>
          <w:rFonts w:hint="eastAsia" w:ascii="仿宋" w:hAnsi="仿宋" w:eastAsia="仿宋" w:cs="仿宋"/>
          <w:sz w:val="32"/>
          <w:szCs w:val="32"/>
          <w:lang w:eastAsia="zh-CN"/>
        </w:rPr>
      </w:pPr>
    </w:p>
    <w:p>
      <w:pPr>
        <w:spacing w:line="600" w:lineRule="exact"/>
        <w:ind w:firstLine="640" w:firstLineChars="200"/>
        <w:rPr>
          <w:rFonts w:hint="eastAsia" w:ascii="仿宋" w:hAnsi="仿宋" w:eastAsia="仿宋" w:cs="仿宋"/>
          <w:sz w:val="32"/>
          <w:szCs w:val="32"/>
          <w:lang w:eastAsia="zh-CN"/>
        </w:rPr>
      </w:pPr>
    </w:p>
    <w:p>
      <w:pPr>
        <w:spacing w:line="600" w:lineRule="exact"/>
        <w:ind w:firstLine="640" w:firstLineChars="200"/>
        <w:rPr>
          <w:rFonts w:hint="eastAsia" w:ascii="仿宋" w:hAnsi="仿宋" w:eastAsia="仿宋" w:cs="仿宋"/>
          <w:sz w:val="32"/>
          <w:szCs w:val="32"/>
          <w:lang w:eastAsia="zh-CN"/>
        </w:rPr>
      </w:pPr>
    </w:p>
    <w:p>
      <w:pPr>
        <w:spacing w:line="600" w:lineRule="exact"/>
        <w:ind w:firstLine="640" w:firstLineChars="200"/>
        <w:rPr>
          <w:rFonts w:hint="eastAsia" w:ascii="仿宋" w:hAnsi="仿宋" w:eastAsia="仿宋" w:cs="仿宋"/>
          <w:sz w:val="32"/>
          <w:szCs w:val="32"/>
          <w:lang w:eastAsia="zh-CN"/>
        </w:rPr>
      </w:pPr>
    </w:p>
    <w:p>
      <w:pPr>
        <w:spacing w:line="600" w:lineRule="exact"/>
        <w:ind w:firstLine="640" w:firstLineChars="200"/>
        <w:rPr>
          <w:rFonts w:hint="eastAsia" w:ascii="仿宋" w:hAnsi="仿宋" w:eastAsia="仿宋" w:cs="仿宋"/>
          <w:sz w:val="32"/>
          <w:szCs w:val="32"/>
          <w:lang w:eastAsia="zh-CN"/>
        </w:rPr>
      </w:pPr>
    </w:p>
    <w:p>
      <w:pPr>
        <w:spacing w:line="600" w:lineRule="exact"/>
        <w:ind w:firstLine="640" w:firstLineChars="200"/>
        <w:rPr>
          <w:rFonts w:hint="eastAsia" w:ascii="仿宋" w:hAnsi="仿宋" w:eastAsia="仿宋" w:cs="仿宋"/>
          <w:sz w:val="32"/>
          <w:szCs w:val="32"/>
          <w:lang w:eastAsia="zh-CN"/>
        </w:rPr>
      </w:pPr>
    </w:p>
    <w:p>
      <w:pPr>
        <w:spacing w:line="600" w:lineRule="exact"/>
        <w:ind w:firstLine="640" w:firstLineChars="200"/>
        <w:rPr>
          <w:rFonts w:hint="eastAsia" w:ascii="仿宋" w:hAnsi="仿宋" w:eastAsia="仿宋" w:cs="仿宋"/>
          <w:sz w:val="32"/>
          <w:szCs w:val="32"/>
          <w:lang w:eastAsia="zh-CN"/>
        </w:rPr>
      </w:pPr>
    </w:p>
    <w:p>
      <w:pPr>
        <w:spacing w:line="600" w:lineRule="exact"/>
        <w:ind w:firstLine="640" w:firstLineChars="200"/>
        <w:rPr>
          <w:rFonts w:hint="eastAsia" w:ascii="仿宋" w:hAnsi="仿宋" w:eastAsia="仿宋" w:cs="仿宋"/>
          <w:sz w:val="32"/>
          <w:szCs w:val="32"/>
          <w:lang w:eastAsia="zh-CN"/>
        </w:rPr>
      </w:pPr>
    </w:p>
    <w:p>
      <w:pPr>
        <w:spacing w:line="600" w:lineRule="exact"/>
        <w:ind w:firstLine="640" w:firstLineChars="200"/>
        <w:rPr>
          <w:rFonts w:hint="eastAsia" w:ascii="仿宋" w:hAnsi="仿宋" w:eastAsia="仿宋" w:cs="仿宋"/>
          <w:sz w:val="32"/>
          <w:szCs w:val="32"/>
          <w:lang w:eastAsia="zh-CN"/>
        </w:rPr>
      </w:pP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59264" behindDoc="1" locked="0" layoutInCell="1" allowOverlap="1">
            <wp:simplePos x="0" y="0"/>
            <wp:positionH relativeFrom="column">
              <wp:posOffset>410845</wp:posOffset>
            </wp:positionH>
            <wp:positionV relativeFrom="paragraph">
              <wp:posOffset>-3519805</wp:posOffset>
            </wp:positionV>
            <wp:extent cx="5080000" cy="3810000"/>
            <wp:effectExtent l="4445" t="4445" r="20955" b="1460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7"/>
        <w:numPr>
          <w:ilvl w:val="0"/>
          <w:numId w:val="1"/>
        </w:numPr>
        <w:spacing w:line="600" w:lineRule="exact"/>
        <w:ind w:firstLineChars="0"/>
        <w:outlineLvl w:val="1"/>
        <w:rPr>
          <w:rStyle w:val="29"/>
          <w:rFonts w:ascii="黑体" w:hAnsi="黑体" w:eastAsia="黑体"/>
          <w:b w:val="0"/>
        </w:rPr>
      </w:pPr>
      <w:bookmarkStart w:id="24" w:name="_Toc15396605"/>
      <w:bookmarkStart w:id="25" w:name="_Toc15377207"/>
      <w:r>
        <w:rPr>
          <w:rFonts w:hint="eastAsia" w:ascii="黑体" w:hAnsi="黑体" w:eastAsia="黑体"/>
          <w:color w:val="000000"/>
          <w:sz w:val="32"/>
          <w:szCs w:val="32"/>
        </w:rPr>
        <w:t>支</w:t>
      </w:r>
      <w:r>
        <w:rPr>
          <w:rStyle w:val="29"/>
          <w:rFonts w:hint="eastAsia" w:ascii="黑体" w:hAnsi="黑体" w:eastAsia="黑体"/>
          <w:b w:val="0"/>
        </w:rPr>
        <w:t>出决算情况说明</w:t>
      </w:r>
      <w:bookmarkEnd w:id="24"/>
      <w:bookmarkEnd w:id="25"/>
    </w:p>
    <w:p>
      <w:pPr>
        <w:pStyle w:val="7"/>
        <w:ind w:firstLine="640" w:firstLineChars="200"/>
        <w:rPr>
          <w:rFonts w:hint="eastAsia" w:ascii="仿宋" w:hAnsi="仿宋" w:eastAsia="仿宋" w:cs="仿宋"/>
          <w:sz w:val="32"/>
          <w:szCs w:val="32"/>
        </w:rPr>
      </w:pPr>
      <w:r>
        <w:rPr>
          <w:rFonts w:hint="eastAsia" w:ascii="仿宋" w:hAnsi="仿宋" w:eastAsia="仿宋" w:cs="仿宋"/>
          <w:sz w:val="32"/>
          <w:szCs w:val="32"/>
        </w:rPr>
        <w:t>2018年叙永县中医医院总支出10306</w:t>
      </w:r>
      <w:r>
        <w:rPr>
          <w:rFonts w:hint="eastAsia" w:ascii="仿宋" w:hAnsi="仿宋" w:eastAsia="仿宋" w:cs="仿宋"/>
          <w:sz w:val="32"/>
          <w:szCs w:val="32"/>
          <w:lang w:val="en-US" w:eastAsia="zh-CN"/>
        </w:rPr>
        <w:t>.</w:t>
      </w:r>
      <w:r>
        <w:rPr>
          <w:rFonts w:hint="eastAsia" w:ascii="仿宋" w:hAnsi="仿宋" w:eastAsia="仿宋" w:cs="仿宋"/>
          <w:sz w:val="32"/>
          <w:szCs w:val="32"/>
        </w:rPr>
        <w:t>84</w:t>
      </w:r>
      <w:r>
        <w:rPr>
          <w:rFonts w:hint="eastAsia" w:ascii="仿宋" w:hAnsi="仿宋" w:eastAsia="仿宋" w:cs="仿宋"/>
          <w:sz w:val="32"/>
          <w:szCs w:val="32"/>
          <w:lang w:val="en-US" w:eastAsia="zh-CN"/>
        </w:rPr>
        <w:t>万</w:t>
      </w:r>
      <w:r>
        <w:rPr>
          <w:rFonts w:hint="eastAsia" w:ascii="仿宋" w:hAnsi="仿宋" w:eastAsia="仿宋" w:cs="仿宋"/>
          <w:sz w:val="32"/>
          <w:szCs w:val="32"/>
        </w:rPr>
        <w:t>元，其中财政拨款支出为</w:t>
      </w:r>
      <w:r>
        <w:rPr>
          <w:rFonts w:hint="eastAsia" w:ascii="仿宋" w:hAnsi="仿宋" w:eastAsia="仿宋" w:cs="仿宋"/>
          <w:sz w:val="32"/>
          <w:szCs w:val="32"/>
          <w:lang w:val="en-US" w:eastAsia="zh-CN"/>
        </w:rPr>
        <w:t>264.38</w:t>
      </w:r>
      <w:r>
        <w:rPr>
          <w:rFonts w:hint="eastAsia" w:ascii="仿宋" w:hAnsi="仿宋" w:eastAsia="仿宋" w:cs="仿宋"/>
          <w:sz w:val="32"/>
          <w:szCs w:val="32"/>
        </w:rPr>
        <w:t>元，占</w:t>
      </w:r>
      <w:r>
        <w:rPr>
          <w:rFonts w:hint="eastAsia" w:ascii="仿宋" w:hAnsi="仿宋" w:eastAsia="仿宋" w:cs="仿宋"/>
          <w:sz w:val="32"/>
          <w:szCs w:val="32"/>
          <w:lang w:val="en-US" w:eastAsia="zh-CN"/>
        </w:rPr>
        <w:t>2.57</w:t>
      </w:r>
      <w:r>
        <w:rPr>
          <w:rFonts w:hint="eastAsia" w:ascii="仿宋" w:hAnsi="仿宋" w:eastAsia="仿宋" w:cs="仿宋"/>
          <w:sz w:val="32"/>
          <w:szCs w:val="32"/>
        </w:rPr>
        <w:t>%，</w:t>
      </w:r>
      <w:r>
        <w:rPr>
          <w:rFonts w:hint="eastAsia" w:ascii="仿宋" w:hAnsi="仿宋" w:eastAsia="仿宋" w:cs="仿宋"/>
          <w:sz w:val="32"/>
          <w:szCs w:val="32"/>
          <w:lang w:val="en-US" w:eastAsia="zh-CN"/>
        </w:rPr>
        <w:t>医疗业务成本</w:t>
      </w:r>
      <w:r>
        <w:rPr>
          <w:rFonts w:hint="eastAsia" w:ascii="仿宋" w:hAnsi="仿宋" w:eastAsia="仿宋" w:cs="仿宋"/>
          <w:sz w:val="32"/>
          <w:szCs w:val="32"/>
        </w:rPr>
        <w:t>支出为</w:t>
      </w:r>
      <w:r>
        <w:rPr>
          <w:rFonts w:hint="eastAsia" w:ascii="仿宋" w:hAnsi="仿宋" w:eastAsia="仿宋" w:cs="仿宋"/>
          <w:sz w:val="32"/>
          <w:szCs w:val="32"/>
          <w:lang w:val="en-US" w:eastAsia="zh-CN"/>
        </w:rPr>
        <w:t>8630.09万</w:t>
      </w:r>
      <w:r>
        <w:rPr>
          <w:rFonts w:hint="eastAsia" w:ascii="仿宋" w:hAnsi="仿宋" w:eastAsia="仿宋" w:cs="仿宋"/>
          <w:sz w:val="32"/>
          <w:szCs w:val="32"/>
        </w:rPr>
        <w:t>元，占</w:t>
      </w:r>
      <w:r>
        <w:rPr>
          <w:rFonts w:hint="eastAsia" w:ascii="仿宋" w:hAnsi="仿宋" w:eastAsia="仿宋" w:cs="仿宋"/>
          <w:sz w:val="32"/>
          <w:szCs w:val="32"/>
          <w:lang w:val="en-US" w:eastAsia="zh-CN"/>
        </w:rPr>
        <w:t>83.73</w:t>
      </w:r>
      <w:r>
        <w:rPr>
          <w:rFonts w:hint="eastAsia" w:ascii="仿宋" w:hAnsi="仿宋" w:eastAsia="仿宋" w:cs="仿宋"/>
          <w:sz w:val="32"/>
          <w:szCs w:val="32"/>
        </w:rPr>
        <w:t>%，</w:t>
      </w:r>
      <w:r>
        <w:rPr>
          <w:rFonts w:hint="eastAsia" w:ascii="仿宋" w:hAnsi="仿宋" w:eastAsia="仿宋" w:cs="仿宋"/>
          <w:sz w:val="32"/>
          <w:szCs w:val="32"/>
          <w:lang w:val="en-US" w:eastAsia="zh-CN"/>
        </w:rPr>
        <w:t>管理费用</w:t>
      </w:r>
      <w:r>
        <w:rPr>
          <w:rFonts w:hint="eastAsia" w:ascii="仿宋" w:hAnsi="仿宋" w:eastAsia="仿宋" w:cs="仿宋"/>
          <w:sz w:val="32"/>
          <w:szCs w:val="32"/>
        </w:rPr>
        <w:t>支出为</w:t>
      </w:r>
      <w:r>
        <w:rPr>
          <w:rFonts w:hint="eastAsia" w:ascii="仿宋" w:hAnsi="仿宋" w:eastAsia="仿宋" w:cs="仿宋"/>
          <w:sz w:val="32"/>
          <w:szCs w:val="32"/>
          <w:lang w:val="en-US" w:eastAsia="zh-CN"/>
        </w:rPr>
        <w:t>1336.61万</w:t>
      </w:r>
      <w:r>
        <w:rPr>
          <w:rFonts w:hint="eastAsia" w:ascii="仿宋" w:hAnsi="仿宋" w:eastAsia="仿宋" w:cs="仿宋"/>
          <w:sz w:val="32"/>
          <w:szCs w:val="32"/>
        </w:rPr>
        <w:t>元，占</w:t>
      </w:r>
      <w:r>
        <w:rPr>
          <w:rFonts w:hint="eastAsia" w:ascii="仿宋" w:hAnsi="仿宋" w:eastAsia="仿宋" w:cs="仿宋"/>
          <w:sz w:val="32"/>
          <w:szCs w:val="32"/>
          <w:lang w:val="en-US" w:eastAsia="zh-CN"/>
        </w:rPr>
        <w:t>12.97</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其他</w:t>
      </w:r>
      <w:r>
        <w:rPr>
          <w:rFonts w:hint="eastAsia" w:ascii="仿宋" w:hAnsi="仿宋" w:eastAsia="仿宋" w:cs="仿宋"/>
          <w:sz w:val="32"/>
          <w:szCs w:val="32"/>
        </w:rPr>
        <w:t>支出为</w:t>
      </w:r>
      <w:r>
        <w:rPr>
          <w:rFonts w:hint="eastAsia" w:ascii="仿宋" w:hAnsi="仿宋" w:eastAsia="仿宋" w:cs="仿宋"/>
          <w:sz w:val="32"/>
          <w:szCs w:val="32"/>
          <w:lang w:val="en-US" w:eastAsia="zh-CN"/>
        </w:rPr>
        <w:t>75.74万</w:t>
      </w:r>
      <w:r>
        <w:rPr>
          <w:rFonts w:hint="eastAsia" w:ascii="仿宋" w:hAnsi="仿宋" w:eastAsia="仿宋" w:cs="仿宋"/>
          <w:sz w:val="32"/>
          <w:szCs w:val="32"/>
        </w:rPr>
        <w:t>元，占</w:t>
      </w:r>
      <w:r>
        <w:rPr>
          <w:rFonts w:hint="eastAsia" w:ascii="仿宋" w:hAnsi="仿宋" w:eastAsia="仿宋" w:cs="仿宋"/>
          <w:sz w:val="32"/>
          <w:szCs w:val="32"/>
          <w:lang w:val="en-US" w:eastAsia="zh-CN"/>
        </w:rPr>
        <w:t>0.73</w:t>
      </w:r>
      <w:r>
        <w:rPr>
          <w:rFonts w:hint="eastAsia" w:ascii="仿宋" w:hAnsi="仿宋" w:eastAsia="仿宋" w:cs="仿宋"/>
          <w:sz w:val="32"/>
          <w:szCs w:val="32"/>
        </w:rPr>
        <w:t>%</w:t>
      </w:r>
      <w:r>
        <w:rPr>
          <w:rFonts w:hint="eastAsia" w:ascii="仿宋" w:hAnsi="仿宋" w:eastAsia="仿宋" w:cs="仿宋"/>
          <w:sz w:val="32"/>
          <w:szCs w:val="32"/>
          <w:lang w:val="en-US" w:eastAsia="zh-CN"/>
        </w:rPr>
        <w:t>.</w:t>
      </w:r>
      <w:r>
        <w:rPr>
          <w:rFonts w:hint="eastAsia" w:ascii="仿宋" w:hAnsi="仿宋" w:eastAsia="仿宋" w:cs="仿宋"/>
          <w:sz w:val="32"/>
          <w:szCs w:val="32"/>
        </w:rPr>
        <w:t>2018年本年支出合计较2017年增加2030</w:t>
      </w:r>
      <w:r>
        <w:rPr>
          <w:rFonts w:hint="eastAsia" w:ascii="仿宋" w:hAnsi="仿宋" w:eastAsia="仿宋" w:cs="仿宋"/>
          <w:sz w:val="32"/>
          <w:szCs w:val="32"/>
          <w:lang w:val="en-US" w:eastAsia="zh-CN"/>
        </w:rPr>
        <w:t>.</w:t>
      </w:r>
      <w:r>
        <w:rPr>
          <w:rFonts w:hint="eastAsia" w:ascii="仿宋" w:hAnsi="仿宋" w:eastAsia="仿宋" w:cs="仿宋"/>
          <w:sz w:val="32"/>
          <w:szCs w:val="32"/>
        </w:rPr>
        <w:t>52</w:t>
      </w:r>
      <w:r>
        <w:rPr>
          <w:rFonts w:hint="eastAsia" w:ascii="仿宋" w:hAnsi="仿宋" w:eastAsia="仿宋" w:cs="仿宋"/>
          <w:sz w:val="32"/>
          <w:szCs w:val="32"/>
          <w:lang w:val="en-US" w:eastAsia="zh-CN"/>
        </w:rPr>
        <w:t>万</w:t>
      </w:r>
      <w:r>
        <w:rPr>
          <w:rFonts w:hint="eastAsia" w:ascii="仿宋" w:hAnsi="仿宋" w:eastAsia="仿宋" w:cs="仿宋"/>
          <w:sz w:val="32"/>
          <w:szCs w:val="32"/>
        </w:rPr>
        <w:t>元，增长24.53%，增长的原因是人员经费增加（包括养老保险等缴费比例增加）医院优惠医疗费用，创建三级医院开支等</w:t>
      </w: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r>
        <w:rPr>
          <w:rFonts w:hint="eastAsia" w:ascii="仿宋_GB2312" w:eastAsia="仿宋_GB2312"/>
          <w:color w:val="FF0000"/>
          <w:sz w:val="32"/>
          <w:szCs w:val="32"/>
          <w:lang w:eastAsia="zh-CN"/>
        </w:rPr>
        <w:drawing>
          <wp:anchor distT="0" distB="0" distL="114300" distR="114300" simplePos="0" relativeHeight="251660288" behindDoc="1" locked="0" layoutInCell="1" allowOverlap="1">
            <wp:simplePos x="0" y="0"/>
            <wp:positionH relativeFrom="column">
              <wp:posOffset>410845</wp:posOffset>
            </wp:positionH>
            <wp:positionV relativeFrom="paragraph">
              <wp:posOffset>-3519805</wp:posOffset>
            </wp:positionV>
            <wp:extent cx="5080000" cy="3801110"/>
            <wp:effectExtent l="4445" t="4445" r="20955" b="2349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9"/>
          <w:rFonts w:ascii="黑体" w:hAnsi="黑体" w:eastAsia="黑体"/>
          <w:b w:val="0"/>
        </w:rPr>
      </w:pPr>
      <w:bookmarkStart w:id="26" w:name="_Toc15377208"/>
      <w:bookmarkStart w:id="27" w:name="_Toc15396606"/>
      <w:r>
        <w:rPr>
          <w:rFonts w:hint="eastAsia" w:ascii="黑体" w:hAnsi="黑体" w:eastAsia="黑体"/>
          <w:color w:val="000000"/>
          <w:sz w:val="32"/>
          <w:szCs w:val="32"/>
        </w:rPr>
        <w:t>四、财</w:t>
      </w:r>
      <w:r>
        <w:rPr>
          <w:rStyle w:val="29"/>
          <w:rFonts w:hint="eastAsia" w:ascii="黑体" w:hAnsi="黑体" w:eastAsia="黑体"/>
          <w:b w:val="0"/>
        </w:rPr>
        <w:t>政拨款收入支出决算总体情况说明</w:t>
      </w:r>
      <w:bookmarkEnd w:id="26"/>
      <w:bookmarkEnd w:id="27"/>
    </w:p>
    <w:p>
      <w:pPr>
        <w:pStyle w:val="7"/>
        <w:ind w:firstLine="640" w:firstLineChars="200"/>
        <w:rPr>
          <w:rFonts w:hint="default" w:ascii="仿宋" w:hAnsi="仿宋" w:eastAsia="仿宋" w:cs="仿宋"/>
          <w:bCs/>
          <w:sz w:val="32"/>
          <w:szCs w:val="32"/>
          <w:lang w:val="en-US"/>
        </w:rPr>
      </w:pPr>
      <w:r>
        <w:rPr>
          <w:rFonts w:ascii="仿宋" w:hAnsi="仿宋" w:eastAsia="仿宋"/>
          <w:color w:val="000000"/>
          <w:sz w:val="32"/>
          <w:szCs w:val="32"/>
        </w:rPr>
        <w:t>201</w:t>
      </w:r>
      <w:r>
        <w:rPr>
          <w:rFonts w:hint="eastAsia" w:ascii="仿宋" w:hAnsi="仿宋" w:eastAsia="仿宋"/>
          <w:color w:val="000000"/>
          <w:sz w:val="32"/>
          <w:szCs w:val="32"/>
        </w:rPr>
        <w:t>8年财政拨款收</w:t>
      </w:r>
      <w:r>
        <w:rPr>
          <w:rFonts w:hint="eastAsia" w:ascii="仿宋" w:hAnsi="仿宋" w:eastAsia="仿宋"/>
          <w:color w:val="000000"/>
          <w:sz w:val="32"/>
          <w:szCs w:val="32"/>
          <w:lang w:val="en-US" w:eastAsia="zh-CN"/>
        </w:rPr>
        <w:t>入579.73</w:t>
      </w:r>
      <w:r>
        <w:rPr>
          <w:rFonts w:hint="eastAsia" w:ascii="仿宋" w:hAnsi="仿宋" w:eastAsia="仿宋" w:cs="仿宋"/>
          <w:sz w:val="32"/>
          <w:szCs w:val="32"/>
          <w:lang w:val="en-US" w:eastAsia="zh-CN"/>
        </w:rPr>
        <w:t>万</w:t>
      </w:r>
      <w:r>
        <w:rPr>
          <w:rFonts w:hint="eastAsia" w:ascii="仿宋" w:hAnsi="仿宋" w:eastAsia="仿宋"/>
          <w:color w:val="000000"/>
          <w:sz w:val="32"/>
          <w:szCs w:val="32"/>
          <w:lang w:val="en-US" w:eastAsia="zh-CN"/>
        </w:rPr>
        <w:t>元，与2017年相比增加378.24</w:t>
      </w:r>
      <w:r>
        <w:rPr>
          <w:rFonts w:hint="eastAsia" w:ascii="仿宋" w:hAnsi="仿宋" w:eastAsia="仿宋" w:cs="仿宋"/>
          <w:sz w:val="32"/>
          <w:szCs w:val="32"/>
          <w:lang w:val="en-US" w:eastAsia="zh-CN"/>
        </w:rPr>
        <w:t>万</w:t>
      </w:r>
      <w:r>
        <w:rPr>
          <w:rFonts w:hint="eastAsia" w:ascii="仿宋" w:hAnsi="仿宋" w:eastAsia="仿宋"/>
          <w:color w:val="000000"/>
          <w:sz w:val="32"/>
          <w:szCs w:val="32"/>
          <w:lang w:val="en-US" w:eastAsia="zh-CN"/>
        </w:rPr>
        <w:t>元，增长了187%，主要原因是18年有省中医管理局划拨的补短补缺项目380万元财政补助资金。</w:t>
      </w:r>
    </w:p>
    <w:p>
      <w:pPr>
        <w:spacing w:line="600" w:lineRule="exact"/>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财政拨款支出合计316.94</w:t>
      </w:r>
      <w:r>
        <w:rPr>
          <w:rFonts w:hint="eastAsia" w:ascii="仿宋" w:hAnsi="仿宋" w:eastAsia="仿宋" w:cs="仿宋"/>
          <w:sz w:val="32"/>
          <w:szCs w:val="32"/>
          <w:lang w:val="en-US" w:eastAsia="zh-CN"/>
        </w:rPr>
        <w:t>万</w:t>
      </w:r>
      <w:r>
        <w:rPr>
          <w:rFonts w:hint="eastAsia" w:ascii="仿宋" w:hAnsi="仿宋" w:eastAsia="仿宋"/>
          <w:color w:val="000000"/>
          <w:sz w:val="32"/>
          <w:szCs w:val="32"/>
          <w:lang w:val="en-US" w:eastAsia="zh-CN"/>
        </w:rPr>
        <w:t>元，与2017年相比增加153.45</w:t>
      </w:r>
      <w:r>
        <w:rPr>
          <w:rFonts w:hint="eastAsia" w:ascii="仿宋" w:hAnsi="仿宋" w:eastAsia="仿宋" w:cs="仿宋"/>
          <w:sz w:val="32"/>
          <w:szCs w:val="32"/>
          <w:lang w:val="en-US" w:eastAsia="zh-CN"/>
        </w:rPr>
        <w:t>万</w:t>
      </w:r>
      <w:r>
        <w:rPr>
          <w:rFonts w:hint="eastAsia" w:ascii="仿宋" w:hAnsi="仿宋" w:eastAsia="仿宋"/>
          <w:color w:val="000000"/>
          <w:sz w:val="32"/>
          <w:szCs w:val="32"/>
          <w:lang w:val="en-US" w:eastAsia="zh-CN"/>
        </w:rPr>
        <w:t>元，增长了93%，主要是由于补短补缺项目进行的医院HIS系统采购先期款项。</w:t>
      </w:r>
    </w:p>
    <w:p>
      <w:pPr>
        <w:spacing w:line="600" w:lineRule="exact"/>
        <w:ind w:firstLine="640"/>
        <w:rPr>
          <w:rFonts w:ascii="仿宋" w:hAnsi="仿宋" w:eastAsia="仿宋"/>
          <w:b/>
          <w:color w:val="000000" w:themeColor="text1"/>
          <w:sz w:val="32"/>
          <w:szCs w:val="32"/>
          <w14:textFill>
            <w14:solidFill>
              <w14:schemeClr w14:val="tx1"/>
            </w14:solidFill>
          </w14:textFill>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Fonts w:hint="eastAsia" w:ascii="黑体" w:hAnsi="黑体" w:eastAsia="黑体"/>
          <w:color w:val="000000"/>
          <w:sz w:val="32"/>
          <w:szCs w:val="32"/>
        </w:rPr>
      </w:pPr>
      <w:bookmarkStart w:id="28" w:name="_Toc15396607"/>
      <w:bookmarkStart w:id="29" w:name="_Toc15377209"/>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lang w:eastAsia="zh-CN"/>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r>
        <w:rPr>
          <w:rFonts w:hint="eastAsia" w:ascii="黑体" w:hAnsi="黑体" w:eastAsia="黑体"/>
          <w:color w:val="000000"/>
          <w:sz w:val="32"/>
          <w:szCs w:val="32"/>
          <w:lang w:eastAsia="zh-CN"/>
        </w:rPr>
        <w:drawing>
          <wp:anchor distT="0" distB="0" distL="114300" distR="114300" simplePos="0" relativeHeight="251661312" behindDoc="1" locked="0" layoutInCell="1" allowOverlap="1">
            <wp:simplePos x="0" y="0"/>
            <wp:positionH relativeFrom="column">
              <wp:posOffset>410845</wp:posOffset>
            </wp:positionH>
            <wp:positionV relativeFrom="paragraph">
              <wp:posOffset>-4567555</wp:posOffset>
            </wp:positionV>
            <wp:extent cx="5080000" cy="4857750"/>
            <wp:effectExtent l="4445" t="4445" r="20955" b="1460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Style w:val="29"/>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9"/>
          <w:rFonts w:hint="eastAsia" w:ascii="黑体" w:hAnsi="黑体" w:eastAsia="黑体"/>
          <w:b w:val="0"/>
        </w:rPr>
        <w:t>般公共预算财政拨款支出决算情况说明</w:t>
      </w:r>
      <w:bookmarkEnd w:id="28"/>
      <w:bookmarkEnd w:id="29"/>
    </w:p>
    <w:p>
      <w:pPr>
        <w:spacing w:line="600" w:lineRule="exact"/>
        <w:ind w:firstLine="643" w:firstLineChars="200"/>
        <w:outlineLvl w:val="2"/>
        <w:rPr>
          <w:rFonts w:ascii="仿宋" w:hAnsi="仿宋" w:eastAsia="仿宋"/>
          <w:b/>
          <w:color w:val="000000"/>
          <w:sz w:val="32"/>
          <w:szCs w:val="32"/>
        </w:rPr>
      </w:pPr>
      <w:bookmarkStart w:id="30" w:name="_Toc15377210"/>
      <w:r>
        <w:rPr>
          <w:rFonts w:hint="eastAsia" w:ascii="仿宋" w:hAnsi="仿宋" w:eastAsia="仿宋"/>
          <w:b/>
          <w:color w:val="000000"/>
          <w:sz w:val="32"/>
          <w:szCs w:val="32"/>
        </w:rPr>
        <w:t>（一）一般公共预算财政拨款支出决算总体情况</w:t>
      </w:r>
      <w:bookmarkEnd w:id="30"/>
    </w:p>
    <w:p>
      <w:pPr>
        <w:spacing w:line="600" w:lineRule="exact"/>
        <w:ind w:firstLine="640" w:firstLineChars="200"/>
        <w:rPr>
          <w:rFonts w:hint="default"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316</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3.06</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153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93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由于补短补缺项目进行的医院HIS系统采购先期款项。</w:t>
      </w:r>
    </w:p>
    <w:p>
      <w:pPr>
        <w:spacing w:line="60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325120</wp:posOffset>
            </wp:positionH>
            <wp:positionV relativeFrom="paragraph">
              <wp:posOffset>-671830</wp:posOffset>
            </wp:positionV>
            <wp:extent cx="5080000" cy="3933190"/>
            <wp:effectExtent l="4445" t="4445" r="20955" b="571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3" w:firstLineChars="200"/>
        <w:outlineLvl w:val="2"/>
        <w:rPr>
          <w:rFonts w:ascii="仿宋" w:hAnsi="仿宋" w:eastAsia="仿宋"/>
          <w:b/>
          <w:color w:val="000000"/>
          <w:sz w:val="32"/>
          <w:szCs w:val="32"/>
        </w:rPr>
      </w:pPr>
      <w:bookmarkStart w:id="31" w:name="_Toc15377211"/>
      <w:r>
        <w:rPr>
          <w:rFonts w:hint="eastAsia" w:ascii="仿宋" w:hAnsi="仿宋" w:eastAsia="仿宋"/>
          <w:b/>
          <w:color w:val="000000"/>
          <w:sz w:val="32"/>
          <w:szCs w:val="32"/>
        </w:rPr>
        <w:t>（二）一般公共预算财政拨款支出决算结构情况</w:t>
      </w:r>
      <w:bookmarkEnd w:id="31"/>
    </w:p>
    <w:p>
      <w:pPr>
        <w:spacing w:line="600" w:lineRule="exact"/>
        <w:ind w:firstLine="640"/>
        <w:rPr>
          <w:rFonts w:hint="default" w:ascii="仿宋" w:hAnsi="仿宋" w:eastAsia="仿宋"/>
          <w:b w:val="0"/>
          <w:bCs/>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316</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b/>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2013299其他组织事务支出</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4.7</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1.48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社会保障和就业支出</w:t>
      </w:r>
      <w:r>
        <w:rPr>
          <w:rFonts w:hint="eastAsia" w:ascii="仿宋" w:hAnsi="仿宋" w:eastAsia="仿宋"/>
          <w:b/>
          <w:color w:val="000000" w:themeColor="text1"/>
          <w:sz w:val="32"/>
          <w:szCs w:val="32"/>
          <w:lang w:eastAsia="zh-CN"/>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类</w:t>
      </w:r>
      <w:r>
        <w:rPr>
          <w:rFonts w:hint="eastAsia" w:ascii="仿宋" w:hAnsi="仿宋" w:eastAsia="仿宋"/>
          <w:b/>
          <w:color w:val="000000" w:themeColor="text1"/>
          <w:sz w:val="32"/>
          <w:szCs w:val="32"/>
          <w:lang w:eastAsia="zh-CN"/>
          <w14:textFill>
            <w14:solidFill>
              <w14:schemeClr w14:val="tx1"/>
            </w14:solidFill>
          </w14:textFill>
        </w:rPr>
        <w:t>）：</w:t>
      </w:r>
      <w:r>
        <w:rPr>
          <w:rFonts w:hint="eastAsia" w:ascii="仿宋" w:hAnsi="仿宋" w:eastAsia="仿宋"/>
          <w:b w:val="0"/>
          <w:bCs/>
          <w:color w:val="000000" w:themeColor="text1"/>
          <w:sz w:val="32"/>
          <w:szCs w:val="32"/>
          <w:lang w:eastAsia="zh-CN"/>
          <w14:textFill>
            <w14:solidFill>
              <w14:schemeClr w14:val="tx1"/>
            </w14:solidFill>
          </w14:textFill>
        </w:rPr>
        <w:t>2080599其他行政事业单位离退休支出</w:t>
      </w:r>
      <w:r>
        <w:rPr>
          <w:rFonts w:hint="eastAsia" w:ascii="仿宋" w:hAnsi="仿宋" w:eastAsia="仿宋"/>
          <w:b w:val="0"/>
          <w:bCs/>
          <w:color w:val="000000" w:themeColor="text1"/>
          <w:sz w:val="32"/>
          <w:szCs w:val="32"/>
          <w:lang w:val="en-US" w:eastAsia="zh-CN"/>
          <w14:textFill>
            <w14:solidFill>
              <w14:schemeClr w14:val="tx1"/>
            </w14:solidFill>
          </w14:textFill>
        </w:rPr>
        <w:t>45.9万元，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14.48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val="0"/>
          <w:bCs/>
          <w:color w:val="000000" w:themeColor="text1"/>
          <w:sz w:val="32"/>
          <w:szCs w:val="32"/>
          <w:lang w:val="en-US" w:eastAsia="zh-CN"/>
          <w14:textFill>
            <w14:solidFill>
              <w14:schemeClr w14:val="tx1"/>
            </w14:solidFill>
          </w14:textFill>
        </w:rPr>
        <w:t>2080801死亡抚恤2.21万元，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0.7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医疗卫生与计划生育支出（</w:t>
      </w:r>
      <w:r>
        <w:rPr>
          <w:rFonts w:hint="eastAsia" w:ascii="仿宋" w:hAnsi="仿宋" w:eastAsia="仿宋"/>
          <w:b/>
          <w:bCs/>
          <w:color w:val="000000" w:themeColor="text1"/>
          <w:sz w:val="32"/>
          <w:szCs w:val="32"/>
          <w:lang w:val="en-US" w:eastAsia="zh-CN"/>
          <w14:textFill>
            <w14:solidFill>
              <w14:schemeClr w14:val="tx1"/>
            </w14:solidFill>
          </w14:textFill>
        </w:rPr>
        <w:t>类</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eastAsia="zh-CN"/>
          <w14:textFill>
            <w14:solidFill>
              <w14:schemeClr w14:val="tx1"/>
            </w14:solidFill>
          </w14:textFill>
        </w:rPr>
        <w:t>2100202中医（民族）医院</w:t>
      </w:r>
      <w:r>
        <w:rPr>
          <w:rFonts w:hint="eastAsia" w:ascii="仿宋" w:hAnsi="仿宋" w:eastAsia="仿宋"/>
          <w:b w:val="0"/>
          <w:bCs w:val="0"/>
          <w:color w:val="000000" w:themeColor="text1"/>
          <w:sz w:val="32"/>
          <w:szCs w:val="32"/>
          <w:lang w:val="en-US" w:eastAsia="zh-CN"/>
          <w14:textFill>
            <w14:solidFill>
              <w14:schemeClr w14:val="tx1"/>
            </w14:solidFill>
          </w14:textFill>
        </w:rPr>
        <w:t>3万元，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0.95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val="en-US" w:eastAsia="zh-CN"/>
          <w14:textFill>
            <w14:solidFill>
              <w14:schemeClr w14:val="tx1"/>
            </w14:solidFill>
          </w14:textFill>
        </w:rPr>
        <w:t>2100211处理医疗欠费6.5万元，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2.05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val="en-US" w:eastAsia="zh-CN"/>
          <w14:textFill>
            <w14:solidFill>
              <w14:schemeClr w14:val="tx1"/>
            </w14:solidFill>
          </w14:textFill>
        </w:rPr>
        <w:t>2100299其他公立医院支出77.44万元，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24.43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val="en-US" w:eastAsia="zh-CN"/>
          <w14:textFill>
            <w14:solidFill>
              <w14:schemeClr w14:val="tx1"/>
            </w14:solidFill>
          </w14:textFill>
        </w:rPr>
        <w:t>2100601中医（民族医）药专项160万元，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50.48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val="en-US" w:eastAsia="zh-CN"/>
          <w14:textFill>
            <w14:solidFill>
              <w14:schemeClr w14:val="tx1"/>
            </w14:solidFill>
          </w14:textFill>
        </w:rPr>
        <w:t>2101103公务员医疗补助4.44万元，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1.40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。2109901其他医疗卫生与计划生育支出</w:t>
      </w:r>
      <w:r>
        <w:rPr>
          <w:rFonts w:hint="eastAsia" w:ascii="仿宋" w:hAnsi="仿宋" w:eastAsia="仿宋"/>
          <w:color w:val="000000" w:themeColor="text1"/>
          <w:sz w:val="32"/>
          <w:szCs w:val="32"/>
          <w:lang w:val="en-US" w:eastAsia="zh-CN"/>
          <w14:textFill>
            <w14:solidFill>
              <w14:schemeClr w14:val="tx1"/>
            </w14:solidFill>
          </w14:textFill>
        </w:rPr>
        <w:t>10万元，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3.16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农林水支出（</w:t>
      </w:r>
      <w:r>
        <w:rPr>
          <w:rFonts w:hint="eastAsia" w:ascii="仿宋" w:hAnsi="仿宋" w:eastAsia="仿宋"/>
          <w:b/>
          <w:bCs/>
          <w:color w:val="000000" w:themeColor="text1"/>
          <w:sz w:val="32"/>
          <w:szCs w:val="32"/>
          <w:lang w:val="en-US" w:eastAsia="zh-CN"/>
          <w14:textFill>
            <w14:solidFill>
              <w14:schemeClr w14:val="tx1"/>
            </w14:solidFill>
          </w14:textFill>
        </w:rPr>
        <w:t>类</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2130599其他扶贫支出</w:t>
      </w:r>
      <w:r>
        <w:rPr>
          <w:rFonts w:hint="eastAsia" w:ascii="仿宋" w:hAnsi="仿宋" w:eastAsia="仿宋"/>
          <w:color w:val="000000" w:themeColor="text1"/>
          <w:sz w:val="32"/>
          <w:szCs w:val="32"/>
          <w:lang w:val="en-US" w:eastAsia="zh-CN"/>
          <w14:textFill>
            <w14:solidFill>
              <w14:schemeClr w14:val="tx1"/>
            </w14:solidFill>
          </w14:textFill>
        </w:rPr>
        <w:t>2.75万元，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0.87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3360" behindDoc="1" locked="0" layoutInCell="1" allowOverlap="1">
            <wp:simplePos x="0" y="0"/>
            <wp:positionH relativeFrom="column">
              <wp:posOffset>420370</wp:posOffset>
            </wp:positionH>
            <wp:positionV relativeFrom="paragraph">
              <wp:posOffset>290195</wp:posOffset>
            </wp:positionV>
            <wp:extent cx="5231765" cy="4257675"/>
            <wp:effectExtent l="4445" t="4445" r="21590" b="508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2" w:name="_Toc15377212"/>
      <w:r>
        <w:rPr>
          <w:rFonts w:hint="eastAsia" w:ascii="仿宋" w:hAnsi="仿宋" w:eastAsia="仿宋"/>
          <w:b/>
          <w:color w:val="000000"/>
          <w:sz w:val="32"/>
          <w:szCs w:val="32"/>
        </w:rPr>
        <w:t>（三）一般公共预算财政拨款支出决算具体情况</w:t>
      </w:r>
      <w:bookmarkEnd w:id="32"/>
    </w:p>
    <w:p>
      <w:pPr>
        <w:spacing w:line="600" w:lineRule="exact"/>
        <w:ind w:firstLine="643" w:firstLineChars="200"/>
        <w:outlineLvl w:val="2"/>
        <w:rPr>
          <w:rFonts w:ascii="仿宋" w:hAnsi="仿宋" w:eastAsia="仿宋"/>
          <w:color w:val="FF0000"/>
          <w:sz w:val="32"/>
          <w:szCs w:val="32"/>
        </w:rPr>
      </w:pPr>
      <w:bookmarkStart w:id="33" w:name="_Toc15378460"/>
      <w:bookmarkStart w:id="34" w:name="_Toc15377444"/>
      <w:bookmarkStart w:id="35" w:name="_Toc15377213"/>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316万元</w:t>
      </w:r>
      <w:r>
        <w:rPr>
          <w:rFonts w:hint="eastAsia" w:ascii="仿宋" w:hAnsi="仿宋" w:eastAsia="仿宋"/>
          <w:color w:val="000000" w:themeColor="text1"/>
          <w:sz w:val="32"/>
          <w:szCs w:val="32"/>
          <w14:textFill>
            <w14:solidFill>
              <w14:schemeClr w14:val="tx1"/>
            </w14:solidFill>
          </w14:textFill>
        </w:rPr>
        <w:t>，</w:t>
      </w:r>
      <w:r>
        <w:rPr>
          <w:rStyle w:val="16"/>
          <w:rFonts w:hint="eastAsia" w:ascii="仿宋" w:hAnsi="仿宋" w:eastAsia="仿宋"/>
          <w:bCs/>
          <w:color w:val="000000" w:themeColor="text1"/>
          <w:sz w:val="32"/>
          <w:szCs w:val="32"/>
          <w14:textFill>
            <w14:solidFill>
              <w14:schemeClr w14:val="tx1"/>
            </w14:solidFill>
          </w14:textFill>
        </w:rPr>
        <w:t>完成</w:t>
      </w:r>
      <w:r>
        <w:rPr>
          <w:rStyle w:val="16"/>
          <w:rFonts w:hint="eastAsia" w:ascii="仿宋" w:hAnsi="仿宋" w:eastAsia="仿宋"/>
          <w:bCs/>
          <w:color w:val="000000"/>
          <w:sz w:val="32"/>
          <w:szCs w:val="32"/>
        </w:rPr>
        <w:t>预算</w:t>
      </w:r>
      <w:r>
        <w:rPr>
          <w:rStyle w:val="16"/>
          <w:rFonts w:hint="eastAsia" w:ascii="仿宋" w:hAnsi="仿宋" w:eastAsia="仿宋"/>
          <w:bCs/>
          <w:color w:val="000000"/>
          <w:sz w:val="32"/>
          <w:szCs w:val="32"/>
          <w:lang w:val="en-US" w:eastAsia="zh-CN"/>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33"/>
      <w:bookmarkEnd w:id="34"/>
      <w:bookmarkEnd w:id="35"/>
    </w:p>
    <w:p>
      <w:pPr>
        <w:spacing w:line="600" w:lineRule="exact"/>
        <w:ind w:firstLine="643" w:firstLineChars="200"/>
        <w:rPr>
          <w:rFonts w:hint="default" w:ascii="仿宋" w:hAnsi="仿宋" w:eastAsia="仿宋"/>
          <w:b/>
          <w:color w:val="000000"/>
          <w:sz w:val="32"/>
          <w:szCs w:val="32"/>
          <w:lang w:val="en-US" w:eastAsia="zh-CN"/>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rPr>
        <w:t>一般公共服务</w:t>
      </w:r>
      <w:r>
        <w:rPr>
          <w:rStyle w:val="16"/>
          <w:rFonts w:hint="eastAsia" w:ascii="仿宋" w:hAnsi="仿宋" w:eastAsia="仿宋"/>
          <w:bCs/>
          <w:color w:val="000000"/>
          <w:sz w:val="32"/>
          <w:szCs w:val="32"/>
          <w:lang w:eastAsia="zh-CN"/>
        </w:rPr>
        <w:t>：</w:t>
      </w:r>
      <w:r>
        <w:rPr>
          <w:rFonts w:hint="eastAsia" w:ascii="仿宋" w:hAnsi="仿宋" w:eastAsia="仿宋"/>
          <w:b w:val="0"/>
          <w:bCs w:val="0"/>
          <w:color w:val="000000" w:themeColor="text1"/>
          <w:sz w:val="32"/>
          <w:szCs w:val="32"/>
          <w:lang w:val="en-US" w:eastAsia="zh-CN"/>
          <w14:textFill>
            <w14:solidFill>
              <w14:schemeClr w14:val="tx1"/>
            </w14:solidFill>
          </w14:textFill>
        </w:rPr>
        <w:t>其他组织事务支出</w:t>
      </w:r>
      <w:r>
        <w:rPr>
          <w:rStyle w:val="16"/>
          <w:rFonts w:hint="eastAsia" w:ascii="仿宋" w:hAnsi="仿宋" w:eastAsia="仿宋"/>
          <w:b w:val="0"/>
          <w:bCs w:val="0"/>
          <w:color w:val="000000"/>
          <w:sz w:val="32"/>
          <w:szCs w:val="32"/>
          <w:lang w:val="en-US" w:eastAsia="zh-CN"/>
        </w:rPr>
        <w:t>2013299</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4.7</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w:t>
      </w:r>
      <w:r>
        <w:rPr>
          <w:rStyle w:val="16"/>
          <w:rFonts w:hint="eastAsia" w:ascii="仿宋" w:hAnsi="仿宋" w:eastAsia="仿宋"/>
          <w:b w:val="0"/>
          <w:bCs/>
          <w:color w:val="000000"/>
          <w:sz w:val="32"/>
          <w:szCs w:val="32"/>
          <w:lang w:val="en-US" w:eastAsia="zh-CN"/>
        </w:rPr>
        <w:t>大</w:t>
      </w:r>
      <w:r>
        <w:rPr>
          <w:rStyle w:val="16"/>
          <w:rFonts w:hint="eastAsia" w:ascii="仿宋" w:hAnsi="仿宋" w:eastAsia="仿宋"/>
          <w:b w:val="0"/>
          <w:bCs/>
          <w:color w:val="000000"/>
          <w:sz w:val="32"/>
          <w:szCs w:val="32"/>
        </w:rPr>
        <w:t>于预算数的主要原因是</w:t>
      </w:r>
      <w:r>
        <w:rPr>
          <w:rStyle w:val="16"/>
          <w:rFonts w:hint="eastAsia" w:ascii="仿宋" w:hAnsi="仿宋" w:eastAsia="仿宋"/>
          <w:b w:val="0"/>
          <w:bCs/>
          <w:color w:val="000000"/>
          <w:sz w:val="32"/>
          <w:szCs w:val="32"/>
          <w:lang w:val="en-US" w:eastAsia="zh-CN"/>
        </w:rPr>
        <w:t>扶贫工作小分队工作经费增加。</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2</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w:t>
      </w:r>
      <w:r>
        <w:rPr>
          <w:rStyle w:val="16"/>
          <w:rFonts w:hint="eastAsia" w:ascii="仿宋" w:hAnsi="仿宋" w:eastAsia="仿宋"/>
          <w:bCs/>
          <w:color w:val="000000"/>
          <w:sz w:val="32"/>
          <w:szCs w:val="32"/>
          <w:lang w:eastAsia="zh-CN"/>
        </w:rPr>
        <w:t>：</w:t>
      </w:r>
      <w:r>
        <w:rPr>
          <w:rFonts w:hint="eastAsia" w:ascii="仿宋" w:hAnsi="仿宋" w:eastAsia="仿宋"/>
          <w:b w:val="0"/>
          <w:bCs/>
          <w:color w:val="000000" w:themeColor="text1"/>
          <w:sz w:val="32"/>
          <w:szCs w:val="32"/>
          <w:lang w:eastAsia="zh-CN"/>
          <w14:textFill>
            <w14:solidFill>
              <w14:schemeClr w14:val="tx1"/>
            </w14:solidFill>
          </w14:textFill>
        </w:rPr>
        <w:t>其他行政事业单位离退休支出</w:t>
      </w:r>
      <w:r>
        <w:rPr>
          <w:rStyle w:val="16"/>
          <w:rFonts w:hint="eastAsia" w:ascii="仿宋" w:hAnsi="仿宋" w:eastAsia="仿宋"/>
          <w:b w:val="0"/>
          <w:bCs w:val="0"/>
          <w:color w:val="000000"/>
          <w:sz w:val="32"/>
          <w:szCs w:val="32"/>
          <w:lang w:val="en-US" w:eastAsia="zh-CN"/>
        </w:rPr>
        <w:t>2080599</w:t>
      </w:r>
      <w:r>
        <w:rPr>
          <w:rStyle w:val="16"/>
          <w:rFonts w:ascii="仿宋" w:hAnsi="仿宋" w:eastAsia="仿宋"/>
          <w:b w:val="0"/>
          <w:bCs w:val="0"/>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45.9</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 w:hAnsi="仿宋" w:eastAsia="仿宋"/>
          <w:b w:val="0"/>
          <w:bCs/>
          <w:color w:val="000000" w:themeColor="text1"/>
          <w:sz w:val="32"/>
          <w:szCs w:val="32"/>
          <w:lang w:val="en-US" w:eastAsia="zh-CN"/>
          <w14:textFill>
            <w14:solidFill>
              <w14:schemeClr w14:val="tx1"/>
            </w14:solidFill>
          </w14:textFill>
        </w:rPr>
        <w:t>2080801死亡抚恤，</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2.21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w:t>
      </w:r>
      <w:r>
        <w:rPr>
          <w:rStyle w:val="16"/>
          <w:rFonts w:hint="eastAsia" w:ascii="仿宋" w:hAnsi="仿宋" w:eastAsia="仿宋"/>
          <w:b w:val="0"/>
          <w:bCs/>
          <w:color w:val="000000"/>
          <w:sz w:val="32"/>
          <w:szCs w:val="32"/>
          <w:lang w:val="en-US" w:eastAsia="zh-CN"/>
        </w:rPr>
        <w:t>大于</w:t>
      </w:r>
      <w:r>
        <w:rPr>
          <w:rStyle w:val="16"/>
          <w:rFonts w:hint="eastAsia" w:ascii="仿宋" w:hAnsi="仿宋" w:eastAsia="仿宋"/>
          <w:b w:val="0"/>
          <w:bCs/>
          <w:color w:val="000000"/>
          <w:sz w:val="32"/>
          <w:szCs w:val="32"/>
        </w:rPr>
        <w:t>预算数的主要原因是</w:t>
      </w:r>
      <w:r>
        <w:rPr>
          <w:rStyle w:val="16"/>
          <w:rFonts w:hint="eastAsia" w:ascii="仿宋" w:hAnsi="仿宋" w:eastAsia="仿宋"/>
          <w:b w:val="0"/>
          <w:bCs/>
          <w:color w:val="000000"/>
          <w:sz w:val="32"/>
          <w:szCs w:val="32"/>
          <w:lang w:val="en-US" w:eastAsia="zh-CN"/>
        </w:rPr>
        <w:t>新增退休职工年终慰问费支出、退休职工死亡抚恤金</w:t>
      </w:r>
      <w:r>
        <w:rPr>
          <w:rStyle w:val="16"/>
          <w:rFonts w:hint="eastAsia" w:ascii="仿宋" w:hAnsi="仿宋" w:eastAsia="仿宋"/>
          <w:b w:val="0"/>
          <w:bCs/>
          <w:color w:val="000000"/>
          <w:sz w:val="32"/>
          <w:szCs w:val="32"/>
        </w:rPr>
        <w:t>。</w:t>
      </w:r>
    </w:p>
    <w:p>
      <w:pPr>
        <w:spacing w:line="600" w:lineRule="exact"/>
        <w:ind w:firstLine="643" w:firstLineChars="200"/>
        <w:rPr>
          <w:rFonts w:hint="default" w:ascii="仿宋" w:hAnsi="仿宋" w:eastAsia="仿宋"/>
          <w:color w:val="000000"/>
          <w:sz w:val="32"/>
          <w:szCs w:val="32"/>
          <w:lang w:val="en-US" w:eastAsia="zh-CN"/>
        </w:rPr>
      </w:pPr>
      <w:r>
        <w:rPr>
          <w:rStyle w:val="16"/>
          <w:rFonts w:hint="eastAsia" w:ascii="仿宋" w:hAnsi="仿宋" w:eastAsia="仿宋"/>
          <w:bCs/>
          <w:color w:val="000000"/>
          <w:sz w:val="32"/>
          <w:szCs w:val="32"/>
          <w:lang w:val="en-US" w:eastAsia="zh-CN"/>
        </w:rPr>
        <w:t>3</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医疗卫生与计划生育</w:t>
      </w:r>
      <w:r>
        <w:rPr>
          <w:rFonts w:hint="eastAsia" w:ascii="仿宋" w:hAnsi="仿宋" w:eastAsia="仿宋"/>
          <w:b w:val="0"/>
          <w:bCs w:val="0"/>
          <w:color w:val="000000" w:themeColor="text1"/>
          <w:sz w:val="32"/>
          <w:szCs w:val="32"/>
          <w:lang w:eastAsia="zh-CN"/>
          <w14:textFill>
            <w14:solidFill>
              <w14:schemeClr w14:val="tx1"/>
            </w14:solidFill>
          </w14:textFill>
        </w:rPr>
        <w:t>2100202</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261.38</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w:t>
      </w:r>
      <w:r>
        <w:rPr>
          <w:rStyle w:val="16"/>
          <w:rFonts w:hint="eastAsia" w:ascii="仿宋" w:hAnsi="仿宋" w:eastAsia="仿宋"/>
          <w:b w:val="0"/>
          <w:bCs/>
          <w:color w:val="000000"/>
          <w:sz w:val="32"/>
          <w:szCs w:val="32"/>
          <w:lang w:val="en-US" w:eastAsia="zh-CN"/>
        </w:rPr>
        <w:t>大于</w:t>
      </w:r>
      <w:r>
        <w:rPr>
          <w:rStyle w:val="16"/>
          <w:rFonts w:hint="eastAsia" w:ascii="仿宋" w:hAnsi="仿宋" w:eastAsia="仿宋"/>
          <w:b w:val="0"/>
          <w:bCs/>
          <w:color w:val="000000"/>
          <w:sz w:val="32"/>
          <w:szCs w:val="32"/>
        </w:rPr>
        <w:t>预算数的主要原因是</w:t>
      </w:r>
      <w:r>
        <w:rPr>
          <w:rStyle w:val="16"/>
          <w:rFonts w:hint="eastAsia" w:ascii="仿宋" w:hAnsi="仿宋" w:eastAsia="仿宋"/>
          <w:b w:val="0"/>
          <w:bCs/>
          <w:color w:val="000000"/>
          <w:sz w:val="32"/>
          <w:szCs w:val="32"/>
          <w:lang w:val="en-US" w:eastAsia="zh-CN"/>
        </w:rPr>
        <w:t>新增省级补短补缺项目补助支出160万元。</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9"/>
        </w:rPr>
      </w:pPr>
      <w:bookmarkStart w:id="36" w:name="_Toc15377214"/>
      <w:bookmarkStart w:id="37"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9"/>
          <w:rFonts w:hint="eastAsia" w:ascii="黑体" w:hAnsi="黑体" w:eastAsia="黑体"/>
          <w:b w:val="0"/>
        </w:rPr>
        <w:t>般公共预算财政拨款基本支出决算情况说明</w:t>
      </w:r>
      <w:bookmarkEnd w:id="36"/>
      <w:bookmarkEnd w:id="37"/>
      <w:r>
        <w:rPr>
          <w:rStyle w:val="29"/>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55.55</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55.55</w:t>
      </w:r>
      <w:r>
        <w:rPr>
          <w:rFonts w:hint="eastAsia" w:ascii="仿宋" w:hAnsi="仿宋" w:eastAsia="仿宋"/>
          <w:color w:val="000000"/>
          <w:sz w:val="32"/>
          <w:szCs w:val="32"/>
        </w:rPr>
        <w:t>万元，主要包括：</w:t>
      </w:r>
      <w:r>
        <w:rPr>
          <w:rFonts w:hint="eastAsia" w:ascii="仿宋" w:hAnsi="仿宋" w:eastAsia="仿宋"/>
          <w:color w:val="000000"/>
          <w:sz w:val="32"/>
          <w:szCs w:val="32"/>
          <w:lang w:val="en-US" w:eastAsia="zh-CN"/>
        </w:rPr>
        <w:t>30101</w:t>
      </w:r>
      <w:r>
        <w:rPr>
          <w:rFonts w:hint="eastAsia" w:ascii="仿宋" w:hAnsi="仿宋" w:eastAsia="仿宋"/>
          <w:color w:val="000000"/>
          <w:sz w:val="32"/>
          <w:szCs w:val="32"/>
        </w:rPr>
        <w:t>基本工资</w:t>
      </w:r>
      <w:r>
        <w:rPr>
          <w:rFonts w:hint="eastAsia" w:ascii="仿宋" w:hAnsi="仿宋" w:eastAsia="仿宋"/>
          <w:color w:val="000000"/>
          <w:sz w:val="32"/>
          <w:szCs w:val="32"/>
          <w:lang w:val="en-US" w:eastAsia="zh-CN"/>
        </w:rPr>
        <w:t>3万元、30111公务员医疗补助</w:t>
      </w:r>
      <w:r>
        <w:rPr>
          <w:rFonts w:hint="eastAsia" w:ascii="仿宋" w:hAnsi="仿宋" w:eastAsia="仿宋"/>
          <w:color w:val="000000"/>
          <w:sz w:val="32"/>
          <w:szCs w:val="32"/>
          <w:lang w:val="en-US" w:eastAsia="zh-CN"/>
        </w:rPr>
        <w:tab/>
      </w:r>
      <w:r>
        <w:rPr>
          <w:rFonts w:hint="eastAsia" w:ascii="仿宋" w:hAnsi="仿宋" w:eastAsia="仿宋"/>
          <w:color w:val="000000"/>
          <w:sz w:val="32"/>
          <w:szCs w:val="32"/>
          <w:lang w:val="en-US" w:eastAsia="zh-CN"/>
        </w:rPr>
        <w:t>4.44万元。30304抚恤金2.21万元。30307医疗费补助45.9万元。</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p>
    <w:p>
      <w:pPr>
        <w:spacing w:line="600" w:lineRule="exact"/>
        <w:ind w:firstLine="640"/>
        <w:rPr>
          <w:rFonts w:ascii="仿宋" w:hAnsi="仿宋" w:eastAsia="仿宋"/>
          <w:b/>
          <w:color w:val="FF0000"/>
          <w:sz w:val="32"/>
          <w:szCs w:val="32"/>
        </w:rPr>
      </w:pPr>
    </w:p>
    <w:p>
      <w:pPr>
        <w:spacing w:line="600" w:lineRule="exact"/>
        <w:ind w:firstLine="640"/>
        <w:outlineLvl w:val="1"/>
        <w:rPr>
          <w:rStyle w:val="29"/>
          <w:rFonts w:ascii="黑体" w:hAnsi="黑体" w:eastAsia="黑体"/>
          <w:b w:val="0"/>
        </w:rPr>
      </w:pPr>
      <w:bookmarkStart w:id="38" w:name="_Toc15396609"/>
      <w:bookmarkStart w:id="39" w:name="_Toc15377215"/>
      <w:r>
        <w:rPr>
          <w:rFonts w:hint="eastAsia" w:ascii="黑体" w:eastAsia="黑体"/>
          <w:color w:val="000000"/>
          <w:sz w:val="32"/>
          <w:szCs w:val="32"/>
        </w:rPr>
        <w:t>七、</w:t>
      </w:r>
      <w:r>
        <w:rPr>
          <w:rStyle w:val="29"/>
          <w:rFonts w:hint="eastAsia" w:ascii="黑体" w:hAnsi="黑体" w:eastAsia="黑体"/>
        </w:rPr>
        <w:t>“</w:t>
      </w:r>
      <w:r>
        <w:rPr>
          <w:rStyle w:val="29"/>
          <w:rFonts w:hint="eastAsia" w:ascii="黑体" w:hAnsi="黑体" w:eastAsia="黑体"/>
          <w:b w:val="0"/>
        </w:rPr>
        <w:t>三公”经费财政拨款支出决算情况说明</w:t>
      </w:r>
      <w:bookmarkEnd w:id="38"/>
      <w:bookmarkEnd w:id="39"/>
    </w:p>
    <w:p>
      <w:pPr>
        <w:spacing w:line="600" w:lineRule="exact"/>
        <w:ind w:firstLine="640"/>
        <w:outlineLvl w:val="2"/>
        <w:rPr>
          <w:rFonts w:ascii="仿宋" w:hAnsi="仿宋" w:eastAsia="仿宋"/>
          <w:b/>
          <w:color w:val="000000"/>
          <w:sz w:val="32"/>
          <w:szCs w:val="32"/>
        </w:rPr>
      </w:pPr>
      <w:bookmarkStart w:id="40" w:name="_Toc15377216"/>
      <w:r>
        <w:rPr>
          <w:rFonts w:hint="eastAsia" w:ascii="仿宋" w:hAnsi="仿宋" w:eastAsia="仿宋"/>
          <w:b/>
          <w:color w:val="000000"/>
          <w:sz w:val="32"/>
          <w:szCs w:val="32"/>
        </w:rPr>
        <w:t>（一）“三公”经费财政拨款支出决算总体情况说明</w:t>
      </w:r>
      <w:bookmarkEnd w:id="40"/>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，决算数</w:t>
      </w:r>
      <w:r>
        <w:rPr>
          <w:rFonts w:hint="eastAsia" w:ascii="仿宋" w:hAnsi="仿宋" w:eastAsia="仿宋"/>
          <w:color w:val="000000"/>
          <w:sz w:val="32"/>
          <w:szCs w:val="32"/>
          <w:lang w:val="en-US" w:eastAsia="zh-CN"/>
        </w:rPr>
        <w:t>等于</w:t>
      </w:r>
      <w:r>
        <w:rPr>
          <w:rFonts w:hint="eastAsia" w:ascii="仿宋" w:hAnsi="仿宋" w:eastAsia="仿宋"/>
          <w:color w:val="000000"/>
          <w:sz w:val="32"/>
          <w:szCs w:val="32"/>
        </w:rPr>
        <w:t>预算数的主要原因是</w:t>
      </w:r>
      <w:r>
        <w:rPr>
          <w:rFonts w:hint="eastAsia" w:ascii="仿宋" w:hAnsi="仿宋" w:eastAsia="仿宋"/>
          <w:color w:val="000000"/>
          <w:sz w:val="32"/>
          <w:szCs w:val="32"/>
          <w:lang w:val="en-US" w:eastAsia="zh-CN"/>
        </w:rPr>
        <w:t>叙永县中医医院属于差额拨款单位，财政拨款主要用于项目支出，不用于三公经费支出</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1" w:name="_Toc15377217"/>
      <w:r>
        <w:rPr>
          <w:rFonts w:hint="eastAsia" w:ascii="仿宋" w:hAnsi="仿宋" w:eastAsia="仿宋"/>
          <w:b/>
          <w:color w:val="000000"/>
          <w:sz w:val="32"/>
          <w:szCs w:val="32"/>
        </w:rPr>
        <w:t>（二）“三公”经费财政拨款支出决算具体情况说明</w:t>
      </w:r>
      <w:bookmarkEnd w:id="4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rPr>
        <w:t>开支内容包括：</w:t>
      </w:r>
      <w:r>
        <w:rPr>
          <w:rFonts w:hint="eastAsia" w:ascii="仿宋_GB2312" w:eastAsia="仿宋_GB2312"/>
          <w:color w:val="000000"/>
          <w:sz w:val="32"/>
          <w:szCs w:val="32"/>
          <w:lang w:val="en-US" w:eastAsia="zh-CN"/>
        </w:rPr>
        <w:t>无</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eastAsia="zh-CN"/>
        </w:rPr>
        <w:t>0</w:t>
      </w:r>
      <w:r>
        <w:rPr>
          <w:rFonts w:hint="eastAsia" w:ascii="仿宋_GB2312" w:eastAsia="仿宋_GB2312"/>
          <w:color w:val="000000"/>
          <w:sz w:val="32"/>
          <w:szCs w:val="32"/>
        </w:rPr>
        <w:t>万元，主要用于…。截至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eastAsia="zh-CN"/>
        </w:rPr>
        <w:t>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eastAsia="zh-CN"/>
        </w:rPr>
        <w:t>0</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val="en-US" w:eastAsia="zh-CN"/>
        </w:rPr>
        <w:t>无</w:t>
      </w:r>
      <w:r>
        <w:rPr>
          <w:rFonts w:hint="eastAsia" w:ascii="仿宋_GB2312" w:eastAsia="仿宋_GB2312"/>
          <w:color w:val="000000"/>
          <w:sz w:val="32"/>
          <w:szCs w:val="32"/>
        </w:rPr>
        <w:t>。其中：</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万元，主要接待</w:t>
      </w:r>
      <w:r>
        <w:rPr>
          <w:rFonts w:hint="eastAsia" w:ascii="仿宋_GB2312" w:eastAsia="仿宋_GB2312"/>
          <w:color w:val="000000" w:themeColor="text1"/>
          <w:sz w:val="32"/>
          <w:szCs w:val="32"/>
          <w:lang w:val="en-US" w:eastAsia="zh-CN"/>
          <w14:textFill>
            <w14:solidFill>
              <w14:schemeClr w14:val="tx1"/>
            </w14:solidFill>
          </w14:textFill>
        </w:rPr>
        <w:t>无</w:t>
      </w:r>
      <w:r>
        <w:rPr>
          <w:rFonts w:hint="eastAsia" w:ascii="仿宋_GB2312" w:eastAsia="仿宋_GB2312"/>
          <w:color w:val="000000" w:themeColor="text1"/>
          <w:sz w:val="32"/>
          <w:szCs w:val="32"/>
          <w14:textFill>
            <w14:solidFill>
              <w14:schemeClr w14:val="tx1"/>
            </w14:solidFill>
          </w14:textFill>
        </w:rPr>
        <w:t>。</w:t>
      </w:r>
    </w:p>
    <w:p>
      <w:pPr>
        <w:spacing w:line="600" w:lineRule="exact"/>
        <w:ind w:firstLine="640"/>
        <w:rPr>
          <w:rFonts w:hint="eastAsia" w:ascii="仿宋_GB2312" w:eastAsia="仿宋_GB2312"/>
          <w:color w:val="000000"/>
          <w:sz w:val="32"/>
          <w:szCs w:val="32"/>
          <w:lang w:eastAsia="zh-CN"/>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outlineLvl w:val="1"/>
        <w:rPr>
          <w:rFonts w:hint="eastAsia" w:ascii="黑体" w:eastAsia="黑体"/>
          <w:color w:val="000000"/>
          <w:sz w:val="32"/>
          <w:szCs w:val="32"/>
        </w:rPr>
      </w:pPr>
      <w:bookmarkStart w:id="42" w:name="_Toc15377218"/>
      <w:bookmarkStart w:id="43" w:name="_Toc15396610"/>
    </w:p>
    <w:p>
      <w:pPr>
        <w:spacing w:line="600" w:lineRule="exact"/>
        <w:ind w:firstLine="640"/>
        <w:outlineLvl w:val="1"/>
        <w:rPr>
          <w:rStyle w:val="29"/>
          <w:rFonts w:ascii="黑体" w:hAnsi="黑体" w:eastAsia="黑体"/>
        </w:rPr>
      </w:pPr>
      <w:r>
        <w:rPr>
          <w:rFonts w:hint="eastAsia" w:ascii="黑体" w:eastAsia="黑体"/>
          <w:color w:val="000000"/>
          <w:sz w:val="32"/>
          <w:szCs w:val="32"/>
        </w:rPr>
        <w:t>八、</w:t>
      </w:r>
      <w:r>
        <w:rPr>
          <w:rStyle w:val="29"/>
          <w:rFonts w:hint="eastAsia" w:ascii="黑体" w:hAnsi="黑体" w:eastAsia="黑体"/>
          <w:b w:val="0"/>
        </w:rPr>
        <w:t>政府性基金预算支出决算情况说明</w:t>
      </w:r>
      <w:bookmarkEnd w:id="42"/>
      <w:bookmarkEnd w:id="43"/>
    </w:p>
    <w:p>
      <w:pPr>
        <w:spacing w:line="600" w:lineRule="exact"/>
        <w:ind w:firstLine="640"/>
        <w:rPr>
          <w:rFonts w:hint="eastAsia" w:ascii="仿宋_GB2312" w:eastAsia="仿宋_GB2312"/>
          <w:color w:val="000000"/>
          <w:sz w:val="32"/>
          <w:szCs w:val="32"/>
          <w:lang w:val="en-US" w:eastAsia="zh-CN"/>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叙永县中医医院无</w:t>
      </w:r>
      <w:r>
        <w:rPr>
          <w:rFonts w:hint="eastAsia" w:ascii="仿宋_GB2312" w:eastAsia="仿宋_GB2312"/>
          <w:color w:val="000000"/>
          <w:sz w:val="32"/>
          <w:szCs w:val="32"/>
        </w:rPr>
        <w:t>政府性基金预算拨款</w:t>
      </w:r>
      <w:r>
        <w:rPr>
          <w:rFonts w:hint="eastAsia" w:ascii="仿宋_GB2312" w:eastAsia="仿宋_GB2312"/>
          <w:color w:val="000000"/>
          <w:sz w:val="32"/>
          <w:szCs w:val="32"/>
          <w:lang w:eastAsia="zh-CN"/>
        </w:rPr>
        <w:t>。</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9"/>
          <w:rFonts w:ascii="黑体" w:hAnsi="黑体" w:eastAsia="黑体"/>
          <w:b w:val="0"/>
        </w:rPr>
      </w:pPr>
      <w:bookmarkStart w:id="44" w:name="_Toc15396611"/>
      <w:bookmarkStart w:id="45" w:name="_Toc15377219"/>
      <w:r>
        <w:rPr>
          <w:rStyle w:val="29"/>
          <w:rFonts w:hint="eastAsia" w:ascii="黑体" w:hAnsi="黑体" w:eastAsia="黑体"/>
          <w:b w:val="0"/>
        </w:rPr>
        <w:t>国有资本经营预算支出决算情况说明</w:t>
      </w:r>
      <w:bookmarkEnd w:id="44"/>
      <w:bookmarkEnd w:id="45"/>
    </w:p>
    <w:p>
      <w:pPr>
        <w:spacing w:line="600" w:lineRule="exact"/>
        <w:ind w:firstLine="640"/>
        <w:rPr>
          <w:rFonts w:hint="eastAsia" w:ascii="仿宋_GB2312" w:eastAsia="仿宋_GB2312"/>
          <w:color w:val="000000"/>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叙永县中医医院无</w:t>
      </w:r>
      <w:r>
        <w:rPr>
          <w:rFonts w:hint="eastAsia" w:ascii="仿宋_GB2312" w:eastAsia="仿宋_GB2312"/>
          <w:color w:val="000000"/>
          <w:sz w:val="32"/>
          <w:szCs w:val="32"/>
        </w:rPr>
        <w:t>国有资本经营预算拨款支出</w:t>
      </w:r>
      <w:r>
        <w:rPr>
          <w:rFonts w:hint="eastAsia" w:ascii="仿宋_GB2312" w:eastAsia="仿宋_GB2312"/>
          <w:color w:val="000000"/>
          <w:sz w:val="32"/>
          <w:szCs w:val="32"/>
          <w:lang w:eastAsia="zh-CN"/>
        </w:rPr>
        <w:t>。</w:t>
      </w:r>
    </w:p>
    <w:p>
      <w:pPr>
        <w:pStyle w:val="27"/>
        <w:numPr>
          <w:ilvl w:val="0"/>
          <w:numId w:val="3"/>
        </w:numPr>
        <w:spacing w:line="580" w:lineRule="exact"/>
        <w:ind w:firstLineChars="0"/>
        <w:rPr>
          <w:rStyle w:val="29"/>
          <w:rFonts w:ascii="黑体" w:hAnsi="黑体" w:eastAsia="黑体"/>
          <w:b w:val="0"/>
        </w:rPr>
      </w:pPr>
      <w:r>
        <w:rPr>
          <w:rStyle w:val="29"/>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val="en-US" w:eastAsia="zh-CN"/>
        </w:rPr>
        <w:t>叙永县中医医院</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val="en-US" w:eastAsia="zh-CN"/>
        </w:rPr>
        <w:t>中医院</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中医院6</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_GB2312" w:eastAsia="仿宋_GB2312" w:cs="仿宋_GB2312"/>
          <w:sz w:val="32"/>
          <w:szCs w:val="32"/>
          <w:lang w:val="en-US" w:eastAsia="zh-CN"/>
        </w:rPr>
        <w:t>目前项目完成度良好，有很高的社会评价</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个项目绩效评价，从评价情况来看</w:t>
      </w:r>
      <w:r>
        <w:rPr>
          <w:rFonts w:hint="eastAsia" w:ascii="仿宋_GB2312" w:hAnsi="仿宋_GB2312" w:eastAsia="仿宋_GB2312" w:cs="仿宋_GB2312"/>
          <w:sz w:val="32"/>
          <w:szCs w:val="32"/>
          <w:lang w:val="en-US" w:eastAsia="zh-CN"/>
        </w:rPr>
        <w:t>主要是处理医疗欠费、取消药品加成等项目，为我县保障人民群众的身体健康作出了积极的贡献。</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本部门在2018年度部门决算中反映“处理医疗欠费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扶贫村</w:t>
      </w:r>
      <w:r>
        <w:rPr>
          <w:rFonts w:hint="eastAsia" w:ascii="仿宋_GB2312" w:hAnsi="仿宋_GB2312" w:eastAsia="仿宋_GB2312" w:cs="仿宋_GB2312"/>
          <w:sz w:val="32"/>
          <w:szCs w:val="32"/>
        </w:rPr>
        <w:t>第一书记工作经费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“取消药品加成补助”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扶贫攻坚工作经费</w:t>
      </w:r>
      <w:r>
        <w:rPr>
          <w:rFonts w:hint="eastAsia" w:ascii="仿宋_GB2312" w:hAnsi="仿宋_GB2312" w:eastAsia="仿宋_GB2312" w:cs="仿宋_GB2312"/>
          <w:sz w:val="32"/>
          <w:szCs w:val="32"/>
          <w:lang w:eastAsia="zh-CN"/>
        </w:rPr>
        <w:t>”“公务员医疗补助”</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处理医疗欠费项目绩效目标完成情况综述。项目全年预算数</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%。通过项目实施，救治无法承担费用人员多人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val="en-US" w:eastAsia="zh-CN"/>
        </w:rPr>
        <w:t>救死扶伤、实行人道主义是我院的办院宗旨，多年来，医院积极救治各种危、急、重病人，为我县保障人民群众的身体健康作出了积极的贡献，但长期以来，医院被日益沉重的医疗欠费所困扰，严重影响医院的以来救助治疗。</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val="en-US" w:eastAsia="zh-CN"/>
        </w:rPr>
        <w:t>需要财政拨款来负担医疗欠费，为我县的人民身体健康作出一份力。</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扶贫村</w:t>
      </w:r>
      <w:r>
        <w:rPr>
          <w:rFonts w:hint="eastAsia" w:ascii="仿宋_GB2312" w:hAnsi="仿宋_GB2312" w:eastAsia="仿宋_GB2312" w:cs="仿宋_GB2312"/>
          <w:sz w:val="32"/>
          <w:szCs w:val="32"/>
        </w:rPr>
        <w:t>第一书记工作经费项目绩效目标完成情况综述。项目全年预算数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%。通过项目实施，支持国家扶贫攻坚政策，改善贫困户生活，带领脱贫</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扶贫条件困难，需要财政补助</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需要财政补助改善扶贫干部下乡扶贫的工作经费。</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取消药品加成补助项目绩效目标完成情况综述。项目全年预算数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%。通过项目实施，我院支持从开始全面启动县级医院综合改革，同步实施药品零销售，尤其是取消药品加成政策，直接减轻了群众就医负担，群众看病贵问题得到了一定程度缓解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发现的主要问题：群众得到了一定的福利，医院的发展负担仍然繁重，各种支出增高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下一步改进措施：需要财政拨款支撑，缓解我院的压力。</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扶贫攻坚全覆盖工作经费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2.75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2.75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%。通过项目实施，支持国家扶贫攻坚政策，改善贫困户生活，带领脱贫</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扶贫工作条件困难，需要财政补助</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需要财政补助改善扶贫干部下乡扶贫的工作经费。</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公务员医疗补助补助项目绩效目标完成情况综述。项目全年预算数</w:t>
      </w: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%。通过项目实施，由于国家加大对退休职工人员的补助，提高退休职工的待遇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发现的主要问题：我院由于是差额拨款单位，资金紧张，需要财政承担60%的退休职工医疗补助，我院承担40%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目前我院资金压力过大，需要财政资金支付退休职工补助。</w:t>
      </w:r>
    </w:p>
    <w:p>
      <w:pPr>
        <w:tabs>
          <w:tab w:val="left" w:pos="312"/>
        </w:tabs>
        <w:spacing w:line="580" w:lineRule="exact"/>
        <w:rPr>
          <w:rFonts w:ascii="仿宋_GB2312" w:hAnsi="仿宋_GB2312" w:eastAsia="仿宋_GB2312" w:cs="仿宋_GB2312"/>
          <w:sz w:val="32"/>
          <w:szCs w:val="32"/>
        </w:rPr>
      </w:pP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处理医疗欠费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叙永县中医医院</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9.5万元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9.5万元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9.5万元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缓解取消医疗欠费后医疗运行出现的资金压力</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缓解取消医疗欠费后医疗运行出现的资金压力</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救治无法承担费用人员多人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医疗质量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救治了多名病人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保障人民群众的身体健康作出了积极的贡献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99%</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val="en-US" w:eastAsia="zh-CN"/>
        </w:rPr>
        <w:t>叙永县中医医院</w:t>
      </w:r>
      <w:r>
        <w:rPr>
          <w:rFonts w:hint="eastAsia" w:ascii="仿宋_GB2312" w:hAnsi="仿宋_GB2312" w:eastAsia="仿宋_GB2312" w:cs="仿宋_GB2312"/>
          <w:sz w:val="32"/>
          <w:szCs w:val="32"/>
        </w:rPr>
        <w:t>2018年部门整体支出绩效评价报告》见附件。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9"/>
          <w:rFonts w:ascii="黑体" w:hAnsi="黑体" w:eastAsia="黑体"/>
        </w:rPr>
      </w:pPr>
      <w:bookmarkStart w:id="46" w:name="_Toc15396612"/>
      <w:bookmarkStart w:id="47" w:name="_Toc15377221"/>
      <w:r>
        <w:rPr>
          <w:rFonts w:hint="eastAsia" w:ascii="黑体" w:hAnsi="黑体" w:eastAsia="黑体"/>
          <w:color w:val="000000"/>
          <w:sz w:val="32"/>
          <w:szCs w:val="32"/>
        </w:rPr>
        <w:t>十</w:t>
      </w:r>
      <w:r>
        <w:rPr>
          <w:rStyle w:val="29"/>
          <w:rFonts w:hint="eastAsia" w:ascii="黑体" w:hAnsi="黑体" w:eastAsia="黑体"/>
        </w:rPr>
        <w:t>一、</w:t>
      </w:r>
      <w:r>
        <w:rPr>
          <w:rStyle w:val="29"/>
          <w:rFonts w:hint="eastAsia" w:ascii="黑体" w:hAnsi="黑体" w:eastAsia="黑体"/>
          <w:b w:val="0"/>
        </w:rPr>
        <w:t>其他重要事项的情况说明</w:t>
      </w:r>
      <w:bookmarkEnd w:id="46"/>
      <w:bookmarkEnd w:id="47"/>
    </w:p>
    <w:p>
      <w:pPr>
        <w:spacing w:line="600" w:lineRule="exact"/>
        <w:ind w:firstLine="643" w:firstLineChars="200"/>
        <w:outlineLvl w:val="2"/>
        <w:rPr>
          <w:rFonts w:ascii="仿宋" w:hAnsi="仿宋" w:eastAsia="仿宋"/>
          <w:color w:val="000000"/>
          <w:sz w:val="32"/>
          <w:szCs w:val="32"/>
        </w:rPr>
      </w:pPr>
      <w:bookmarkStart w:id="48" w:name="_Toc15377222"/>
      <w:r>
        <w:rPr>
          <w:rFonts w:hint="eastAsia" w:ascii="仿宋" w:hAnsi="仿宋" w:eastAsia="仿宋"/>
          <w:b/>
          <w:color w:val="000000"/>
          <w:sz w:val="32"/>
          <w:szCs w:val="32"/>
        </w:rPr>
        <w:t>（一）机关运行经费支出情况</w:t>
      </w:r>
      <w:bookmarkEnd w:id="48"/>
    </w:p>
    <w:p>
      <w:pPr>
        <w:spacing w:line="60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8年，</w:t>
      </w:r>
      <w:r>
        <w:rPr>
          <w:rFonts w:hint="eastAsia" w:ascii="仿宋_GB2312" w:eastAsia="仿宋_GB2312"/>
          <w:color w:val="000000"/>
          <w:sz w:val="32"/>
          <w:szCs w:val="32"/>
          <w:highlight w:val="none"/>
          <w:lang w:val="en-US" w:eastAsia="zh-CN"/>
        </w:rPr>
        <w:t>中医院</w:t>
      </w:r>
      <w:r>
        <w:rPr>
          <w:rFonts w:hint="eastAsia" w:ascii="仿宋_GB2312" w:eastAsia="仿宋_GB2312"/>
          <w:color w:val="000000"/>
          <w:sz w:val="32"/>
          <w:szCs w:val="32"/>
          <w:highlight w:val="none"/>
        </w:rPr>
        <w:t>机关运行经费支出</w:t>
      </w:r>
      <w:r>
        <w:rPr>
          <w:rFonts w:hint="eastAsia" w:ascii="仿宋_GB2312" w:eastAsia="仿宋_GB2312"/>
          <w:color w:val="000000"/>
          <w:sz w:val="32"/>
          <w:szCs w:val="32"/>
          <w:highlight w:val="none"/>
          <w:lang w:eastAsia="zh-CN"/>
        </w:rPr>
        <w:t>0</w:t>
      </w:r>
      <w:r>
        <w:rPr>
          <w:rFonts w:hint="eastAsia" w:ascii="仿宋_GB2312" w:eastAsia="仿宋_GB2312"/>
          <w:color w:val="000000"/>
          <w:sz w:val="32"/>
          <w:szCs w:val="32"/>
          <w:highlight w:val="none"/>
        </w:rPr>
        <w:t>万元，比</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7年增加</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减少</w:t>
      </w:r>
      <w:r>
        <w:rPr>
          <w:rFonts w:hint="eastAsia" w:ascii="仿宋_GB2312" w:eastAsia="仿宋_GB2312"/>
          <w:color w:val="000000"/>
          <w:sz w:val="32"/>
          <w:szCs w:val="32"/>
          <w:highlight w:val="none"/>
          <w:lang w:eastAsia="zh-CN"/>
        </w:rPr>
        <w:t>0</w:t>
      </w:r>
      <w:r>
        <w:rPr>
          <w:rFonts w:hint="eastAsia" w:ascii="仿宋_GB2312" w:eastAsia="仿宋_GB2312"/>
          <w:color w:val="000000"/>
          <w:sz w:val="32"/>
          <w:szCs w:val="32"/>
          <w:highlight w:val="none"/>
        </w:rPr>
        <w:t>万元，增长</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下降</w:t>
      </w:r>
      <w:r>
        <w:rPr>
          <w:rFonts w:hint="eastAsia" w:ascii="仿宋_GB2312" w:eastAsia="仿宋_GB2312"/>
          <w:color w:val="000000"/>
          <w:sz w:val="32"/>
          <w:szCs w:val="32"/>
          <w:highlight w:val="none"/>
          <w:lang w:eastAsia="zh-CN"/>
        </w:rPr>
        <w:t>0</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（或与</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7年决算数持平）。</w:t>
      </w:r>
    </w:p>
    <w:p>
      <w:pPr>
        <w:spacing w:line="600" w:lineRule="exact"/>
        <w:ind w:firstLine="640"/>
        <w:rPr>
          <w:rFonts w:ascii="仿宋" w:hAnsi="仿宋" w:eastAsia="仿宋"/>
          <w:b/>
          <w:color w:val="000000"/>
          <w:sz w:val="32"/>
          <w:szCs w:val="32"/>
          <w:highlight w:val="none"/>
        </w:rPr>
      </w:pPr>
      <w:r>
        <w:rPr>
          <w:rFonts w:hint="eastAsia" w:ascii="仿宋" w:hAnsi="仿宋" w:eastAsia="仿宋"/>
          <w:b/>
          <w:color w:val="000000"/>
          <w:sz w:val="32"/>
          <w:szCs w:val="32"/>
          <w:highlight w:val="none"/>
        </w:rPr>
        <w:t>（数据来源财决</w:t>
      </w:r>
      <w:r>
        <w:rPr>
          <w:rFonts w:ascii="仿宋" w:hAnsi="仿宋" w:eastAsia="仿宋"/>
          <w:b/>
          <w:color w:val="000000"/>
          <w:sz w:val="32"/>
          <w:szCs w:val="32"/>
          <w:highlight w:val="none"/>
        </w:rPr>
        <w:t>CS05</w:t>
      </w:r>
      <w:r>
        <w:rPr>
          <w:rFonts w:hint="eastAsia" w:ascii="仿宋" w:hAnsi="仿宋" w:eastAsia="仿宋"/>
          <w:b/>
          <w:color w:val="000000"/>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highlight w:val="none"/>
        </w:rPr>
      </w:pPr>
      <w:bookmarkStart w:id="49" w:name="_Toc15377223"/>
      <w:r>
        <w:rPr>
          <w:rFonts w:hint="eastAsia" w:ascii="仿宋" w:hAnsi="仿宋" w:eastAsia="仿宋"/>
          <w:b/>
          <w:color w:val="000000"/>
          <w:sz w:val="32"/>
          <w:szCs w:val="32"/>
          <w:highlight w:val="none"/>
        </w:rPr>
        <w:t>（二）政府采购支出情况</w:t>
      </w:r>
      <w:bookmarkEnd w:id="49"/>
    </w:p>
    <w:p>
      <w:pPr>
        <w:spacing w:line="60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8年，</w:t>
      </w:r>
      <w:r>
        <w:rPr>
          <w:rFonts w:hint="eastAsia" w:ascii="仿宋_GB2312" w:eastAsia="仿宋_GB2312"/>
          <w:color w:val="000000"/>
          <w:sz w:val="32"/>
          <w:szCs w:val="32"/>
          <w:highlight w:val="none"/>
          <w:lang w:val="en-US" w:eastAsia="zh-CN"/>
        </w:rPr>
        <w:t>中医院</w:t>
      </w:r>
      <w:r>
        <w:rPr>
          <w:rFonts w:hint="eastAsia" w:ascii="仿宋_GB2312" w:eastAsia="仿宋_GB2312"/>
          <w:color w:val="000000"/>
          <w:sz w:val="32"/>
          <w:szCs w:val="32"/>
          <w:highlight w:val="none"/>
        </w:rPr>
        <w:t>政府采购支出总额</w:t>
      </w:r>
      <w:r>
        <w:rPr>
          <w:rFonts w:hint="eastAsia" w:ascii="仿宋_GB2312" w:eastAsia="仿宋_GB2312"/>
          <w:color w:val="000000"/>
          <w:sz w:val="32"/>
          <w:szCs w:val="32"/>
          <w:highlight w:val="none"/>
          <w:lang w:val="en-US" w:eastAsia="zh-CN"/>
        </w:rPr>
        <w:t>257.72</w:t>
      </w:r>
      <w:r>
        <w:rPr>
          <w:rFonts w:hint="eastAsia" w:ascii="仿宋_GB2312" w:eastAsia="仿宋_GB2312"/>
          <w:color w:val="000000"/>
          <w:sz w:val="32"/>
          <w:szCs w:val="32"/>
          <w:highlight w:val="none"/>
        </w:rPr>
        <w:t>万元，其中：政府采购货物支出</w:t>
      </w:r>
      <w:r>
        <w:rPr>
          <w:rFonts w:hint="eastAsia" w:ascii="仿宋_GB2312" w:eastAsia="仿宋_GB2312"/>
          <w:color w:val="000000"/>
          <w:sz w:val="32"/>
          <w:szCs w:val="32"/>
          <w:highlight w:val="none"/>
          <w:lang w:val="en-US" w:eastAsia="zh-CN"/>
        </w:rPr>
        <w:t>19.72</w:t>
      </w:r>
      <w:r>
        <w:rPr>
          <w:rFonts w:hint="eastAsia" w:ascii="仿宋_GB2312" w:eastAsia="仿宋_GB2312"/>
          <w:color w:val="000000"/>
          <w:sz w:val="32"/>
          <w:szCs w:val="32"/>
          <w:highlight w:val="none"/>
        </w:rPr>
        <w:t>万元、政府采购工程支出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万元、政府采购服务支出</w:t>
      </w:r>
      <w:r>
        <w:rPr>
          <w:rFonts w:hint="eastAsia" w:ascii="仿宋_GB2312" w:eastAsia="仿宋_GB2312"/>
          <w:color w:val="000000"/>
          <w:sz w:val="32"/>
          <w:szCs w:val="32"/>
          <w:highlight w:val="none"/>
          <w:lang w:val="en-US" w:eastAsia="zh-CN"/>
        </w:rPr>
        <w:t>238</w:t>
      </w:r>
      <w:r>
        <w:rPr>
          <w:rFonts w:hint="eastAsia" w:ascii="仿宋_GB2312" w:eastAsia="仿宋_GB2312"/>
          <w:color w:val="000000"/>
          <w:sz w:val="32"/>
          <w:szCs w:val="32"/>
          <w:highlight w:val="none"/>
        </w:rPr>
        <w:t>万元。主要用于</w:t>
      </w:r>
      <w:r>
        <w:rPr>
          <w:rFonts w:hint="eastAsia" w:ascii="仿宋_GB2312" w:eastAsia="仿宋_GB2312"/>
          <w:color w:val="000000"/>
          <w:sz w:val="32"/>
          <w:szCs w:val="32"/>
          <w:highlight w:val="none"/>
          <w:lang w:val="en-US" w:eastAsia="zh-CN"/>
        </w:rPr>
        <w:t>购买医院HIS系统的更新换代，加强医院的信息化建设，及购买医疗设备。</w:t>
      </w:r>
      <w:r>
        <w:rPr>
          <w:rFonts w:hint="eastAsia" w:ascii="仿宋_GB2312" w:eastAsia="仿宋_GB2312"/>
          <w:color w:val="000000"/>
          <w:sz w:val="32"/>
          <w:szCs w:val="32"/>
          <w:highlight w:val="none"/>
        </w:rPr>
        <w:t>授予中小企业合同金额</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万元，占政府采购支出总额的</w:t>
      </w:r>
      <w:r>
        <w:rPr>
          <w:rFonts w:hint="eastAsia" w:ascii="仿宋_GB2312" w:eastAsia="仿宋_GB2312"/>
          <w:color w:val="000000"/>
          <w:sz w:val="32"/>
          <w:szCs w:val="32"/>
          <w:highlight w:val="none"/>
          <w:lang w:val="en-US" w:eastAsia="zh-CN"/>
        </w:rPr>
        <w:t>0</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，其中：授予小微企业合同金额</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万元，占政府采购支出总额的</w:t>
      </w:r>
      <w:r>
        <w:rPr>
          <w:rFonts w:hint="eastAsia" w:ascii="仿宋_GB2312" w:eastAsia="仿宋_GB2312"/>
          <w:color w:val="000000"/>
          <w:sz w:val="32"/>
          <w:szCs w:val="32"/>
          <w:highlight w:val="none"/>
          <w:lang w:eastAsia="zh-CN"/>
        </w:rPr>
        <w:t>0</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highlight w:val="none"/>
        </w:rPr>
      </w:pPr>
      <w:r>
        <w:rPr>
          <w:rFonts w:hint="eastAsia" w:ascii="仿宋" w:hAnsi="仿宋" w:eastAsia="仿宋"/>
          <w:b/>
          <w:color w:val="000000"/>
          <w:sz w:val="32"/>
          <w:szCs w:val="32"/>
          <w:highlight w:val="none"/>
        </w:rPr>
        <w:t>（数据来源财决</w:t>
      </w:r>
      <w:r>
        <w:rPr>
          <w:rFonts w:ascii="仿宋" w:hAnsi="仿宋" w:eastAsia="仿宋"/>
          <w:b/>
          <w:color w:val="000000"/>
          <w:sz w:val="32"/>
          <w:szCs w:val="32"/>
          <w:highlight w:val="none"/>
        </w:rPr>
        <w:t>CS06</w:t>
      </w:r>
      <w:r>
        <w:rPr>
          <w:rFonts w:hint="eastAsia" w:ascii="仿宋" w:hAnsi="仿宋" w:eastAsia="仿宋"/>
          <w:b/>
          <w:color w:val="000000"/>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highlight w:val="none"/>
        </w:rPr>
      </w:pPr>
      <w:bookmarkStart w:id="50" w:name="_Toc15377224"/>
      <w:r>
        <w:rPr>
          <w:rFonts w:hint="eastAsia" w:ascii="仿宋" w:hAnsi="仿宋" w:eastAsia="仿宋"/>
          <w:b/>
          <w:color w:val="000000"/>
          <w:sz w:val="32"/>
          <w:szCs w:val="32"/>
          <w:highlight w:val="none"/>
        </w:rPr>
        <w:t>（三）国有资产占有使用情况</w:t>
      </w:r>
      <w:bookmarkEnd w:id="50"/>
    </w:p>
    <w:p>
      <w:pPr>
        <w:autoSpaceDE w:val="0"/>
        <w:autoSpaceDN w:val="0"/>
        <w:adjustRightInd w:val="0"/>
        <w:spacing w:line="600" w:lineRule="exact"/>
        <w:ind w:firstLine="640" w:firstLineChars="200"/>
        <w:jc w:val="left"/>
        <w:rPr>
          <w:rFonts w:ascii="仿宋_GB2312" w:eastAsia="仿宋_GB2312"/>
          <w:color w:val="000000"/>
          <w:sz w:val="32"/>
          <w:szCs w:val="32"/>
          <w:highlight w:val="yellow"/>
        </w:rPr>
      </w:pPr>
      <w:r>
        <w:rPr>
          <w:rFonts w:hint="eastAsia" w:ascii="仿宋_GB2312" w:eastAsia="仿宋_GB2312"/>
          <w:color w:val="000000"/>
          <w:sz w:val="32"/>
          <w:szCs w:val="32"/>
          <w:highlight w:val="none"/>
        </w:rPr>
        <w:t>截至</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8年</w:t>
      </w:r>
      <w:r>
        <w:rPr>
          <w:rFonts w:ascii="仿宋_GB2312" w:eastAsia="仿宋_GB2312"/>
          <w:color w:val="000000"/>
          <w:sz w:val="32"/>
          <w:szCs w:val="32"/>
          <w:highlight w:val="none"/>
        </w:rPr>
        <w:t>12</w:t>
      </w:r>
      <w:r>
        <w:rPr>
          <w:rFonts w:hint="eastAsia" w:ascii="仿宋_GB2312" w:eastAsia="仿宋_GB2312"/>
          <w:color w:val="000000"/>
          <w:sz w:val="32"/>
          <w:szCs w:val="32"/>
          <w:highlight w:val="none"/>
        </w:rPr>
        <w:t>月</w:t>
      </w:r>
      <w:r>
        <w:rPr>
          <w:rFonts w:ascii="仿宋_GB2312" w:eastAsia="仿宋_GB2312"/>
          <w:color w:val="000000"/>
          <w:sz w:val="32"/>
          <w:szCs w:val="32"/>
          <w:highlight w:val="none"/>
        </w:rPr>
        <w:t>31</w:t>
      </w:r>
      <w:r>
        <w:rPr>
          <w:rFonts w:hint="eastAsia" w:ascii="仿宋_GB2312" w:eastAsia="仿宋_GB2312"/>
          <w:color w:val="000000"/>
          <w:sz w:val="32"/>
          <w:szCs w:val="32"/>
          <w:highlight w:val="none"/>
        </w:rPr>
        <w:t>日，</w:t>
      </w:r>
      <w:r>
        <w:rPr>
          <w:rFonts w:hint="eastAsia" w:ascii="仿宋_GB2312" w:eastAsia="仿宋_GB2312"/>
          <w:color w:val="000000"/>
          <w:sz w:val="32"/>
          <w:szCs w:val="32"/>
          <w:highlight w:val="none"/>
          <w:lang w:val="en-US" w:eastAsia="zh-CN"/>
        </w:rPr>
        <w:t>中医院</w:t>
      </w:r>
      <w:r>
        <w:rPr>
          <w:rFonts w:hint="eastAsia" w:ascii="仿宋_GB2312" w:eastAsia="仿宋_GB2312"/>
          <w:color w:val="000000"/>
          <w:sz w:val="32"/>
          <w:szCs w:val="32"/>
          <w:highlight w:val="none"/>
        </w:rPr>
        <w:t>共有车辆</w:t>
      </w:r>
      <w:r>
        <w:rPr>
          <w:rFonts w:hint="eastAsia" w:ascii="仿宋_GB2312" w:eastAsia="仿宋_GB2312"/>
          <w:color w:val="000000"/>
          <w:sz w:val="32"/>
          <w:szCs w:val="32"/>
          <w:highlight w:val="none"/>
          <w:lang w:val="en-US" w:eastAsia="zh-CN"/>
        </w:rPr>
        <w:t>6</w:t>
      </w:r>
      <w:r>
        <w:rPr>
          <w:rFonts w:hint="eastAsia" w:ascii="仿宋_GB2312" w:eastAsia="仿宋_GB2312"/>
          <w:color w:val="000000"/>
          <w:sz w:val="32"/>
          <w:szCs w:val="32"/>
          <w:highlight w:val="none"/>
        </w:rPr>
        <w:t>辆，其中：部级领导干部用车</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辆、一般公务用车</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辆、一般执法执勤用车</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辆、特种专业技术用车</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辆</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救护车</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、其他用车</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辆</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单价</w:t>
      </w:r>
      <w:r>
        <w:rPr>
          <w:rFonts w:ascii="仿宋_GB2312" w:eastAsia="仿宋_GB2312"/>
          <w:color w:val="000000" w:themeColor="text1"/>
          <w:sz w:val="32"/>
          <w:szCs w:val="32"/>
          <w:highlight w:val="none"/>
          <w14:textFill>
            <w14:solidFill>
              <w14:schemeClr w14:val="tx1"/>
            </w14:solidFill>
          </w14:textFill>
        </w:rPr>
        <w:t>50</w:t>
      </w:r>
      <w:r>
        <w:rPr>
          <w:rFonts w:hint="eastAsia" w:ascii="仿宋_GB2312" w:eastAsia="仿宋_GB2312"/>
          <w:color w:val="000000" w:themeColor="text1"/>
          <w:sz w:val="32"/>
          <w:szCs w:val="32"/>
          <w:highlight w:val="none"/>
          <w14:textFill>
            <w14:solidFill>
              <w14:schemeClr w14:val="tx1"/>
            </w14:solidFill>
          </w14:textFill>
        </w:rPr>
        <w:t>万元以上通用设备</w:t>
      </w:r>
      <w:r>
        <w:rPr>
          <w:rFonts w:hint="eastAsia" w:ascii="仿宋_GB2312" w:eastAsia="仿宋_GB2312"/>
          <w:color w:val="000000" w:themeColor="text1"/>
          <w:sz w:val="32"/>
          <w:szCs w:val="32"/>
          <w:highlight w:val="none"/>
          <w:lang w:val="en-US" w:eastAsia="zh-CN"/>
          <w14:textFill>
            <w14:solidFill>
              <w14:schemeClr w14:val="tx1"/>
            </w14:solidFill>
          </w14:textFill>
        </w:rPr>
        <w:t>18</w:t>
      </w:r>
      <w:r>
        <w:rPr>
          <w:rFonts w:hint="eastAsia" w:ascii="仿宋_GB2312" w:eastAsia="仿宋_GB2312"/>
          <w:color w:val="000000" w:themeColor="text1"/>
          <w:sz w:val="32"/>
          <w:szCs w:val="32"/>
          <w:highlight w:val="none"/>
          <w14:textFill>
            <w14:solidFill>
              <w14:schemeClr w14:val="tx1"/>
            </w14:solidFill>
          </w14:textFill>
        </w:rPr>
        <w:t>台（套），单价</w:t>
      </w:r>
      <w:r>
        <w:rPr>
          <w:rFonts w:ascii="仿宋_GB2312" w:eastAsia="仿宋_GB2312"/>
          <w:color w:val="000000" w:themeColor="text1"/>
          <w:sz w:val="32"/>
          <w:szCs w:val="32"/>
          <w:highlight w:val="none"/>
          <w14:textFill>
            <w14:solidFill>
              <w14:schemeClr w14:val="tx1"/>
            </w14:solidFill>
          </w14:textFill>
        </w:rPr>
        <w:t>100</w:t>
      </w:r>
      <w:r>
        <w:rPr>
          <w:rFonts w:hint="eastAsia" w:ascii="仿宋_GB2312" w:eastAsia="仿宋_GB2312"/>
          <w:color w:val="000000"/>
          <w:sz w:val="32"/>
          <w:szCs w:val="32"/>
          <w:highlight w:val="none"/>
        </w:rPr>
        <w:t>万元以上专用设备</w:t>
      </w: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8"/>
          <w:rFonts w:ascii="黑体" w:hAnsi="黑体" w:eastAsia="黑体"/>
          <w:b w:val="0"/>
        </w:rPr>
      </w:pPr>
      <w:bookmarkStart w:id="51" w:name="_Toc15396613"/>
      <w:bookmarkStart w:id="52" w:name="_Toc15377225"/>
      <w:r>
        <w:rPr>
          <w:rFonts w:hint="eastAsia" w:ascii="黑体" w:hAnsi="黑体" w:eastAsia="黑体"/>
          <w:b/>
          <w:color w:val="000000"/>
          <w:sz w:val="44"/>
          <w:szCs w:val="44"/>
        </w:rPr>
        <w:t>名</w:t>
      </w:r>
      <w:r>
        <w:rPr>
          <w:rStyle w:val="28"/>
          <w:rFonts w:hint="eastAsia" w:ascii="黑体" w:hAnsi="黑体" w:eastAsia="黑体"/>
          <w:b w:val="0"/>
        </w:rPr>
        <w:t>词解释</w:t>
      </w:r>
      <w:bookmarkEnd w:id="51"/>
      <w:bookmarkEnd w:id="52"/>
    </w:p>
    <w:p>
      <w:pPr>
        <w:spacing w:line="600" w:lineRule="exact"/>
        <w:jc w:val="left"/>
        <w:rPr>
          <w:rFonts w:ascii="宋体"/>
          <w:b/>
          <w:color w:val="000000"/>
          <w:sz w:val="44"/>
          <w:szCs w:val="44"/>
        </w:rPr>
      </w:pP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w:t>
      </w:r>
      <w:r>
        <w:rPr>
          <w:rFonts w:hint="eastAsia" w:ascii="仿宋_GB2312" w:eastAsia="仿宋_GB2312"/>
          <w:sz w:val="32"/>
          <w:szCs w:val="32"/>
          <w:lang w:val="en-US" w:eastAsia="zh-CN"/>
        </w:rPr>
        <w:t>检查收入、化验收入、放射收入、床位收入</w:t>
      </w:r>
      <w:r>
        <w:rPr>
          <w:rFonts w:hint="eastAsia" w:ascii="仿宋_GB2312" w:eastAsia="仿宋_GB2312"/>
          <w:sz w:val="32"/>
          <w:szCs w:val="32"/>
        </w:rPr>
        <w:t>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w:t>
      </w:r>
      <w:r>
        <w:rPr>
          <w:rFonts w:hint="eastAsia" w:ascii="仿宋_GB2312" w:eastAsia="仿宋_GB2312"/>
          <w:sz w:val="32"/>
          <w:szCs w:val="32"/>
          <w:lang w:val="en-US" w:eastAsia="zh-CN"/>
        </w:rPr>
        <w:t>培训收入、利息收入</w:t>
      </w:r>
      <w:r>
        <w:rPr>
          <w:rFonts w:hint="eastAsia" w:ascii="仿宋_GB2312" w:eastAsia="仿宋_GB2312"/>
          <w:sz w:val="32"/>
          <w:szCs w:val="32"/>
        </w:rPr>
        <w:t>等。</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ascii="仿宋_GB2312" w:eastAsia="仿宋_GB2312"/>
          <w:sz w:val="32"/>
          <w:szCs w:val="32"/>
        </w:rPr>
        <w:t>8</w:t>
      </w:r>
      <w:r>
        <w:rPr>
          <w:rFonts w:hint="eastAsia" w:ascii="仿宋_GB2312" w:eastAsia="仿宋_GB2312"/>
          <w:sz w:val="32"/>
          <w:szCs w:val="32"/>
        </w:rPr>
        <w:t>、年末结转和结余：指单位按有关规定结转到下年或</w:t>
      </w:r>
      <w:r>
        <w:rPr>
          <w:rFonts w:hint="eastAsia" w:ascii="仿宋" w:hAnsi="仿宋" w:eastAsia="仿宋"/>
          <w:color w:val="000000" w:themeColor="text1"/>
          <w:sz w:val="32"/>
          <w:szCs w:val="32"/>
          <w:lang w:val="en-US" w:eastAsia="zh-CN"/>
          <w14:textFill>
            <w14:solidFill>
              <w14:schemeClr w14:val="tx1"/>
            </w14:solidFill>
          </w14:textFill>
        </w:rPr>
        <w:t>以后年度继续使用的资金。</w:t>
      </w:r>
    </w:p>
    <w:p>
      <w:pPr>
        <w:ind w:firstLine="640" w:firstLineChars="200"/>
        <w:rPr>
          <w:rFonts w:ascii="仿宋_GB2312" w:eastAsia="仿宋_GB2312"/>
          <w:color w:val="000000"/>
          <w:sz w:val="32"/>
          <w:szCs w:val="32"/>
        </w:rPr>
      </w:pPr>
      <w:r>
        <w:rPr>
          <w:rFonts w:hint="eastAsia" w:ascii="仿宋" w:hAnsi="仿宋" w:eastAsia="仿宋"/>
          <w:color w:val="000000" w:themeColor="text1"/>
          <w:sz w:val="32"/>
          <w:szCs w:val="32"/>
          <w:lang w:val="en-US" w:eastAsia="zh-CN"/>
          <w14:textFill>
            <w14:solidFill>
              <w14:schemeClr w14:val="tx1"/>
            </w14:solidFill>
          </w14:textFill>
        </w:rPr>
        <w:t>9.一般公共服务（类）：2013299其他组织事务支出</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13.科学技术（类）…（款）…（项）：指……。</w:t>
      </w:r>
    </w:p>
    <w:p>
      <w:p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14.文化体育与传媒（类）…（款）…（项）：指……。</w:t>
      </w:r>
    </w:p>
    <w:p>
      <w:p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15.社会保障和就业支出（类）：2080599其他行政事业单位离退休支出</w:t>
      </w:r>
    </w:p>
    <w:p>
      <w:p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16.医疗卫生与计划生育支出（类）</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eastAsia="zh-CN"/>
          <w14:textFill>
            <w14:solidFill>
              <w14:schemeClr w14:val="tx1"/>
            </w14:solidFill>
          </w14:textFill>
        </w:rPr>
        <w:t>2100202中医（民族）医院、</w:t>
      </w:r>
      <w:r>
        <w:rPr>
          <w:rFonts w:hint="eastAsia" w:ascii="仿宋" w:hAnsi="仿宋" w:eastAsia="仿宋"/>
          <w:b w:val="0"/>
          <w:bCs w:val="0"/>
          <w:color w:val="000000" w:themeColor="text1"/>
          <w:sz w:val="32"/>
          <w:szCs w:val="32"/>
          <w:lang w:val="en-US" w:eastAsia="zh-CN"/>
          <w14:textFill>
            <w14:solidFill>
              <w14:schemeClr w14:val="tx1"/>
            </w14:solidFill>
          </w14:textFill>
        </w:rPr>
        <w:t>2100211处理医疗欠费、2100299其他公立医院支出、2100601中医（民族医）药专项、2101103公务员医</w:t>
      </w:r>
      <w:r>
        <w:rPr>
          <w:rFonts w:hint="eastAsia" w:ascii="仿宋" w:hAnsi="仿宋" w:eastAsia="仿宋"/>
          <w:color w:val="000000" w:themeColor="text1"/>
          <w:sz w:val="32"/>
          <w:szCs w:val="32"/>
          <w:lang w:val="en-US" w:eastAsia="zh-CN"/>
          <w14:textFill>
            <w14:solidFill>
              <w14:schemeClr w14:val="tx1"/>
            </w14:solidFill>
          </w14:textFill>
        </w:rPr>
        <w:t>疗补助、</w:t>
      </w:r>
      <w:r>
        <w:rPr>
          <w:rFonts w:hint="eastAsia" w:ascii="仿宋" w:hAnsi="仿宋" w:eastAsia="仿宋"/>
          <w:color w:val="000000" w:themeColor="text1"/>
          <w:sz w:val="32"/>
          <w:szCs w:val="32"/>
          <w:lang w:eastAsia="zh-CN"/>
          <w14:textFill>
            <w14:solidFill>
              <w14:schemeClr w14:val="tx1"/>
            </w14:solidFill>
          </w14:textFill>
        </w:rPr>
        <w:t>2109901其他医疗卫生与计划生育支出。</w:t>
      </w:r>
      <w:bookmarkStart w:id="72" w:name="_GoBack"/>
      <w:bookmarkEnd w:id="72"/>
    </w:p>
    <w:p>
      <w:pPr>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17.节能环保（类）…（款）…（项）：指……。</w:t>
      </w:r>
    </w:p>
    <w:p>
      <w:pPr>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18.城乡社区（类）…（款）…（项）：指……。</w:t>
      </w:r>
    </w:p>
    <w:p>
      <w:pPr>
        <w:ind w:firstLine="640" w:firstLineChars="200"/>
        <w:rPr>
          <w:rFonts w:ascii="仿宋_GB2312" w:eastAsia="仿宋_GB2312"/>
          <w:color w:val="000000"/>
          <w:sz w:val="32"/>
          <w:szCs w:val="32"/>
        </w:rPr>
      </w:pPr>
      <w:r>
        <w:rPr>
          <w:rFonts w:hint="eastAsia" w:ascii="仿宋" w:hAnsi="仿宋" w:eastAsia="仿宋"/>
          <w:color w:val="000000" w:themeColor="text1"/>
          <w:sz w:val="32"/>
          <w:szCs w:val="32"/>
          <w:lang w:eastAsia="zh-CN"/>
          <w14:textFill>
            <w14:solidFill>
              <w14:schemeClr w14:val="tx1"/>
            </w14:solidFill>
          </w14:textFill>
        </w:rPr>
        <w:t>19.农林水支出（</w:t>
      </w:r>
      <w:r>
        <w:rPr>
          <w:rFonts w:hint="eastAsia" w:ascii="仿宋" w:hAnsi="仿宋" w:eastAsia="仿宋"/>
          <w:color w:val="000000" w:themeColor="text1"/>
          <w:sz w:val="32"/>
          <w:szCs w:val="32"/>
          <w:lang w:val="en-US" w:eastAsia="zh-CN"/>
          <w14:textFill>
            <w14:solidFill>
              <w14:schemeClr w14:val="tx1"/>
            </w14:solidFill>
          </w14:textFill>
        </w:rPr>
        <w:t>类</w:t>
      </w:r>
      <w:r>
        <w:rPr>
          <w:rFonts w:hint="eastAsia" w:ascii="仿宋" w:hAnsi="仿宋" w:eastAsia="仿宋"/>
          <w:color w:val="000000" w:themeColor="text1"/>
          <w:sz w:val="32"/>
          <w:szCs w:val="32"/>
          <w:lang w:eastAsia="zh-CN"/>
          <w14:textFill>
            <w14:solidFill>
              <w14:schemeClr w14:val="tx1"/>
            </w14:solidFill>
          </w14:textFill>
        </w:rPr>
        <w:t>）：2130599其他扶贫支出</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6"/>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8"/>
          <w:rFonts w:ascii="黑体" w:hAnsi="黑体" w:eastAsia="黑体"/>
          <w:b w:val="0"/>
        </w:rPr>
      </w:pPr>
      <w:bookmarkStart w:id="53" w:name="_Toc15377226"/>
      <w:r>
        <w:rPr>
          <w:rFonts w:ascii="宋体"/>
          <w:b/>
          <w:color w:val="000000"/>
          <w:sz w:val="44"/>
          <w:szCs w:val="44"/>
        </w:rPr>
        <w:br w:type="page"/>
      </w:r>
      <w:bookmarkStart w:id="54" w:name="_Toc15396614"/>
      <w:r>
        <w:rPr>
          <w:rFonts w:hint="eastAsia" w:ascii="黑体" w:hAnsi="黑体" w:eastAsia="黑体"/>
          <w:color w:val="000000"/>
          <w:sz w:val="44"/>
          <w:szCs w:val="44"/>
        </w:rPr>
        <w:t>第</w:t>
      </w:r>
      <w:r>
        <w:rPr>
          <w:rStyle w:val="28"/>
          <w:rFonts w:hint="eastAsia" w:ascii="黑体" w:hAnsi="黑体" w:eastAsia="黑体"/>
          <w:b w:val="0"/>
        </w:rPr>
        <w:t>四部分 附件</w:t>
      </w:r>
      <w:bookmarkEnd w:id="54"/>
    </w:p>
    <w:p>
      <w:pPr>
        <w:spacing w:line="600" w:lineRule="exact"/>
        <w:jc w:val="center"/>
        <w:outlineLvl w:val="0"/>
        <w:rPr>
          <w:rStyle w:val="28"/>
        </w:rPr>
      </w:pPr>
    </w:p>
    <w:p>
      <w:pPr>
        <w:pStyle w:val="3"/>
        <w:rPr>
          <w:rStyle w:val="28"/>
          <w:rFonts w:ascii="仿宋" w:hAnsi="仿宋" w:eastAsia="仿宋"/>
          <w:b w:val="0"/>
          <w:bCs w:val="0"/>
          <w:sz w:val="32"/>
          <w:szCs w:val="32"/>
        </w:rPr>
      </w:pPr>
      <w:bookmarkStart w:id="55" w:name="_Toc15396615"/>
      <w:r>
        <w:rPr>
          <w:rStyle w:val="28"/>
          <w:rFonts w:hint="eastAsia" w:ascii="仿宋" w:hAnsi="仿宋" w:eastAsia="仿宋"/>
          <w:b w:val="0"/>
          <w:bCs w:val="0"/>
          <w:sz w:val="32"/>
          <w:szCs w:val="32"/>
        </w:rPr>
        <w:t>附件1</w:t>
      </w:r>
      <w:bookmarkEnd w:id="55"/>
    </w:p>
    <w:p>
      <w:pPr>
        <w:spacing w:line="600" w:lineRule="exact"/>
        <w:jc w:val="center"/>
        <w:outlineLvl w:val="0"/>
        <w:rPr>
          <w:rFonts w:ascii="黑体" w:hAnsi="黑体" w:eastAsia="黑体" w:cs="方正小标宋简体"/>
          <w:sz w:val="36"/>
          <w:szCs w:val="36"/>
        </w:rPr>
      </w:pPr>
      <w:bookmarkStart w:id="56" w:name="_Toc15396616"/>
      <w:r>
        <w:rPr>
          <w:rFonts w:hint="eastAsia" w:ascii="黑体" w:hAnsi="黑体" w:eastAsia="黑体" w:cs="方正小标宋简体"/>
          <w:sz w:val="36"/>
          <w:szCs w:val="36"/>
          <w:lang w:eastAsia="zh-CN"/>
        </w:rPr>
        <w:t>叙永县中医医院</w:t>
      </w:r>
      <w:r>
        <w:rPr>
          <w:rFonts w:hint="eastAsia" w:ascii="黑体" w:hAnsi="黑体" w:eastAsia="黑体" w:cs="方正小标宋简体"/>
          <w:sz w:val="36"/>
          <w:szCs w:val="36"/>
        </w:rPr>
        <w:t>部门2018年部门整体支出绩效评价报告</w:t>
      </w:r>
      <w:bookmarkEnd w:id="56"/>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
          <w:sz w:val="32"/>
          <w:szCs w:val="32"/>
        </w:rPr>
        <w:t>我院预算单位1个，无二级预算单位。</w:t>
      </w:r>
    </w:p>
    <w:p>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pStyle w:val="7"/>
        <w:rPr>
          <w:rFonts w:hint="eastAsia" w:ascii="仿宋" w:hAnsi="仿宋" w:eastAsia="仿宋" w:cs="仿宋"/>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
          <w:sz w:val="32"/>
          <w:szCs w:val="32"/>
        </w:rPr>
        <w:t>叙永县中医医院位于西南重要出海通道321国道、叙永县环城大道南段129号医院占地8839㎡，门诊和住院大楼12429㎡，正在修建医院综合大楼8600㎡。经批准开放病床230张。是叙永县中医医疗、教学、科研基地及中医、中西医结合医院，国家二级甲等医院；泸州市“120”二级急救医院；泸州市交通事故定点急救二级医院；叙永县劳动和社会保障局基本医疗定点医院；新型农村合作医疗定点医院；叙永县财保公司、人保公司、中华保险公司定点医院和矿难急救医院。</w:t>
      </w:r>
    </w:p>
    <w:p>
      <w:pPr>
        <w:numPr>
          <w:ilvl w:val="0"/>
          <w:numId w:val="0"/>
        </w:numPr>
        <w:spacing w:line="580" w:lineRule="exact"/>
        <w:rPr>
          <w:rFonts w:hint="default" w:ascii="仿宋" w:hAnsi="仿宋" w:eastAsia="仿宋" w:cs="仿宋_GB2312"/>
          <w:sz w:val="32"/>
          <w:szCs w:val="32"/>
          <w:lang w:val="en-US" w:eastAsia="zh-CN"/>
        </w:rPr>
      </w:pPr>
    </w:p>
    <w:p>
      <w:pPr>
        <w:numPr>
          <w:ilvl w:val="0"/>
          <w:numId w:val="7"/>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人员概况。</w:t>
      </w:r>
    </w:p>
    <w:p>
      <w:pPr>
        <w:numPr>
          <w:ilvl w:val="0"/>
          <w:numId w:val="0"/>
        </w:numPr>
        <w:spacing w:line="580" w:lineRule="exact"/>
        <w:ind w:left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2</w:t>
      </w:r>
      <w:r>
        <w:rPr>
          <w:rFonts w:hint="eastAsia" w:ascii="仿宋" w:hAnsi="仿宋" w:eastAsia="仿宋" w:cs="仿宋"/>
          <w:sz w:val="32"/>
          <w:szCs w:val="32"/>
          <w:lang w:val="en-US" w:eastAsia="zh-CN"/>
        </w:rPr>
        <w:t>018年单位编制人数238人，</w:t>
      </w:r>
      <w:r>
        <w:rPr>
          <w:rFonts w:hint="eastAsia" w:ascii="仿宋" w:hAnsi="仿宋" w:eastAsia="仿宋" w:cs="仿宋"/>
          <w:sz w:val="32"/>
          <w:szCs w:val="32"/>
          <w:highlight w:val="none"/>
          <w:lang w:val="en-US" w:eastAsia="zh-CN"/>
        </w:rPr>
        <w:t>实际在编142人，招聘人员177人。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pStyle w:val="7"/>
        <w:ind w:firstLine="640" w:firstLineChars="200"/>
        <w:rPr>
          <w:rFonts w:ascii="仿宋" w:hAnsi="仿宋" w:eastAsia="仿宋" w:cs="仿宋_GB2312"/>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w:t>
      </w:r>
      <w:r>
        <w:rPr>
          <w:rFonts w:hint="eastAsia" w:ascii="仿宋" w:hAnsi="仿宋" w:eastAsia="仿宋"/>
          <w:color w:val="000000"/>
          <w:sz w:val="32"/>
          <w:szCs w:val="32"/>
          <w:lang w:val="en-US" w:eastAsia="zh-CN"/>
        </w:rPr>
        <w:t>入5797399.44元，与2017年相比增加3782499.64元，增长了187%，主要原因是18年有省中医管理局划拨的补短补缺项目380万元财政补助资金。</w:t>
      </w:r>
    </w:p>
    <w:p>
      <w:pPr>
        <w:numPr>
          <w:ilvl w:val="0"/>
          <w:numId w:val="8"/>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spacing w:line="600" w:lineRule="exact"/>
        <w:ind w:firstLine="320" w:firstLineChars="1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w:t>
      </w: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316</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b/>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2013299其他组织事务支出</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4.7</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1.48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社会保障和就业支出</w:t>
      </w:r>
      <w:r>
        <w:rPr>
          <w:rFonts w:hint="eastAsia" w:ascii="仿宋" w:hAnsi="仿宋" w:eastAsia="仿宋"/>
          <w:b/>
          <w:color w:val="000000" w:themeColor="text1"/>
          <w:sz w:val="32"/>
          <w:szCs w:val="32"/>
          <w:lang w:eastAsia="zh-CN"/>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类</w:t>
      </w:r>
      <w:r>
        <w:rPr>
          <w:rFonts w:hint="eastAsia" w:ascii="仿宋" w:hAnsi="仿宋" w:eastAsia="仿宋"/>
          <w:b/>
          <w:color w:val="000000" w:themeColor="text1"/>
          <w:sz w:val="32"/>
          <w:szCs w:val="32"/>
          <w:lang w:eastAsia="zh-CN"/>
          <w14:textFill>
            <w14:solidFill>
              <w14:schemeClr w14:val="tx1"/>
            </w14:solidFill>
          </w14:textFill>
        </w:rPr>
        <w:t>）：</w:t>
      </w:r>
      <w:r>
        <w:rPr>
          <w:rFonts w:hint="eastAsia" w:ascii="仿宋" w:hAnsi="仿宋" w:eastAsia="仿宋"/>
          <w:b w:val="0"/>
          <w:bCs/>
          <w:color w:val="000000" w:themeColor="text1"/>
          <w:sz w:val="32"/>
          <w:szCs w:val="32"/>
          <w:lang w:eastAsia="zh-CN"/>
          <w14:textFill>
            <w14:solidFill>
              <w14:schemeClr w14:val="tx1"/>
            </w14:solidFill>
          </w14:textFill>
        </w:rPr>
        <w:t>2080599其他行政事业单位离退休支出</w:t>
      </w:r>
      <w:r>
        <w:rPr>
          <w:rFonts w:hint="eastAsia" w:ascii="仿宋" w:hAnsi="仿宋" w:eastAsia="仿宋"/>
          <w:b w:val="0"/>
          <w:bCs/>
          <w:color w:val="000000" w:themeColor="text1"/>
          <w:sz w:val="32"/>
          <w:szCs w:val="32"/>
          <w:lang w:val="en-US" w:eastAsia="zh-CN"/>
          <w14:textFill>
            <w14:solidFill>
              <w14:schemeClr w14:val="tx1"/>
            </w14:solidFill>
          </w14:textFill>
        </w:rPr>
        <w:t>45.9万元，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14.48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val="0"/>
          <w:bCs/>
          <w:color w:val="000000" w:themeColor="text1"/>
          <w:sz w:val="32"/>
          <w:szCs w:val="32"/>
          <w:lang w:val="en-US" w:eastAsia="zh-CN"/>
          <w14:textFill>
            <w14:solidFill>
              <w14:schemeClr w14:val="tx1"/>
            </w14:solidFill>
          </w14:textFill>
        </w:rPr>
        <w:t>2080801死亡抚恤2.21万元，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0.7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医疗卫生与计划生育支出（</w:t>
      </w:r>
      <w:r>
        <w:rPr>
          <w:rFonts w:hint="eastAsia" w:ascii="仿宋" w:hAnsi="仿宋" w:eastAsia="仿宋"/>
          <w:b/>
          <w:bCs/>
          <w:color w:val="000000" w:themeColor="text1"/>
          <w:sz w:val="32"/>
          <w:szCs w:val="32"/>
          <w:lang w:val="en-US" w:eastAsia="zh-CN"/>
          <w14:textFill>
            <w14:solidFill>
              <w14:schemeClr w14:val="tx1"/>
            </w14:solidFill>
          </w14:textFill>
        </w:rPr>
        <w:t>类</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eastAsia="zh-CN"/>
          <w14:textFill>
            <w14:solidFill>
              <w14:schemeClr w14:val="tx1"/>
            </w14:solidFill>
          </w14:textFill>
        </w:rPr>
        <w:t>2100202中医（民族）医院</w:t>
      </w:r>
      <w:r>
        <w:rPr>
          <w:rFonts w:hint="eastAsia" w:ascii="仿宋" w:hAnsi="仿宋" w:eastAsia="仿宋"/>
          <w:b w:val="0"/>
          <w:bCs w:val="0"/>
          <w:color w:val="000000" w:themeColor="text1"/>
          <w:sz w:val="32"/>
          <w:szCs w:val="32"/>
          <w:lang w:val="en-US" w:eastAsia="zh-CN"/>
          <w14:textFill>
            <w14:solidFill>
              <w14:schemeClr w14:val="tx1"/>
            </w14:solidFill>
          </w14:textFill>
        </w:rPr>
        <w:t>3万元，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0.95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val="en-US" w:eastAsia="zh-CN"/>
          <w14:textFill>
            <w14:solidFill>
              <w14:schemeClr w14:val="tx1"/>
            </w14:solidFill>
          </w14:textFill>
        </w:rPr>
        <w:t>2100211处理医疗欠费6.5万元，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2.05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val="en-US" w:eastAsia="zh-CN"/>
          <w14:textFill>
            <w14:solidFill>
              <w14:schemeClr w14:val="tx1"/>
            </w14:solidFill>
          </w14:textFill>
        </w:rPr>
        <w:t>2100299其他公立医院支出77.44万元，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24.43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val="en-US" w:eastAsia="zh-CN"/>
          <w14:textFill>
            <w14:solidFill>
              <w14:schemeClr w14:val="tx1"/>
            </w14:solidFill>
          </w14:textFill>
        </w:rPr>
        <w:t>2100601中医（民族医）药专项160万元，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50.48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val="en-US" w:eastAsia="zh-CN"/>
          <w14:textFill>
            <w14:solidFill>
              <w14:schemeClr w14:val="tx1"/>
            </w14:solidFill>
          </w14:textFill>
        </w:rPr>
        <w:t>2101103公务员医疗补助4.44万元，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1.40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。2109901其他医疗卫生与计划生育支出</w:t>
      </w:r>
      <w:r>
        <w:rPr>
          <w:rFonts w:hint="eastAsia" w:ascii="仿宋" w:hAnsi="仿宋" w:eastAsia="仿宋"/>
          <w:color w:val="000000" w:themeColor="text1"/>
          <w:sz w:val="32"/>
          <w:szCs w:val="32"/>
          <w:lang w:val="en-US" w:eastAsia="zh-CN"/>
          <w14:textFill>
            <w14:solidFill>
              <w14:schemeClr w14:val="tx1"/>
            </w14:solidFill>
          </w14:textFill>
        </w:rPr>
        <w:t>10万元，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3.16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农林水支出（</w:t>
      </w:r>
      <w:r>
        <w:rPr>
          <w:rFonts w:hint="eastAsia" w:ascii="仿宋" w:hAnsi="仿宋" w:eastAsia="仿宋"/>
          <w:b/>
          <w:bCs/>
          <w:color w:val="000000" w:themeColor="text1"/>
          <w:sz w:val="32"/>
          <w:szCs w:val="32"/>
          <w:lang w:val="en-US" w:eastAsia="zh-CN"/>
          <w14:textFill>
            <w14:solidFill>
              <w14:schemeClr w14:val="tx1"/>
            </w14:solidFill>
          </w14:textFill>
        </w:rPr>
        <w:t>类</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2130599其他扶贫支出</w:t>
      </w:r>
      <w:r>
        <w:rPr>
          <w:rFonts w:hint="eastAsia" w:ascii="仿宋" w:hAnsi="仿宋" w:eastAsia="仿宋"/>
          <w:color w:val="000000" w:themeColor="text1"/>
          <w:sz w:val="32"/>
          <w:szCs w:val="32"/>
          <w:lang w:val="en-US" w:eastAsia="zh-CN"/>
          <w14:textFill>
            <w14:solidFill>
              <w14:schemeClr w14:val="tx1"/>
            </w14:solidFill>
          </w14:textFill>
        </w:rPr>
        <w:t>2.75万元，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0.87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numPr>
          <w:ilvl w:val="0"/>
          <w:numId w:val="1"/>
        </w:numPr>
        <w:spacing w:line="580" w:lineRule="exact"/>
        <w:ind w:left="1360" w:leftChars="0" w:hanging="720" w:firstLineChars="0"/>
        <w:rPr>
          <w:rFonts w:hint="eastAsia" w:ascii="黑体" w:hAnsi="黑体" w:eastAsia="黑体" w:cs="黑体"/>
          <w:sz w:val="32"/>
          <w:szCs w:val="32"/>
          <w:lang w:eastAsia="zh-CN"/>
        </w:rPr>
      </w:pPr>
      <w:r>
        <w:rPr>
          <w:rFonts w:ascii="黑体" w:hAnsi="黑体" w:eastAsia="黑体" w:cs="黑体"/>
          <w:sz w:val="32"/>
          <w:szCs w:val="32"/>
        </w:rPr>
        <w:t>部门整体预算绩效管理情况</w:t>
      </w:r>
      <w:r>
        <w:rPr>
          <w:rFonts w:hint="eastAsia" w:ascii="黑体" w:hAnsi="黑体" w:eastAsia="黑体" w:cs="黑体"/>
          <w:sz w:val="32"/>
          <w:szCs w:val="32"/>
          <w:lang w:eastAsia="zh-CN"/>
        </w:rPr>
        <w:t>。</w:t>
      </w:r>
    </w:p>
    <w:p>
      <w:pPr>
        <w:numPr>
          <w:ilvl w:val="0"/>
          <w:numId w:val="0"/>
        </w:numPr>
        <w:spacing w:line="580" w:lineRule="exact"/>
        <w:ind w:left="640" w:leftChars="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医院严格按照医院的</w:t>
      </w:r>
      <w:r>
        <w:rPr>
          <w:rFonts w:ascii="仿宋" w:hAnsi="仿宋" w:eastAsia="仿宋" w:cs="仿宋_GB2312"/>
          <w:sz w:val="32"/>
          <w:szCs w:val="32"/>
        </w:rPr>
        <w:t>绩效目标制定</w:t>
      </w:r>
      <w:r>
        <w:rPr>
          <w:rFonts w:hint="eastAsia" w:ascii="仿宋" w:hAnsi="仿宋" w:eastAsia="仿宋" w:cs="仿宋_GB2312"/>
          <w:sz w:val="32"/>
          <w:szCs w:val="32"/>
          <w:lang w:eastAsia="zh-CN"/>
        </w:rPr>
        <w:t>计划</w:t>
      </w:r>
      <w:r>
        <w:rPr>
          <w:rFonts w:ascii="仿宋" w:hAnsi="仿宋" w:eastAsia="仿宋" w:cs="仿宋_GB2312"/>
          <w:sz w:val="32"/>
          <w:szCs w:val="32"/>
        </w:rPr>
        <w:t>、</w:t>
      </w:r>
      <w:r>
        <w:rPr>
          <w:rFonts w:hint="eastAsia" w:ascii="仿宋" w:hAnsi="仿宋" w:eastAsia="仿宋" w:cs="仿宋_GB2312"/>
          <w:sz w:val="32"/>
          <w:szCs w:val="32"/>
          <w:lang w:eastAsia="zh-CN"/>
        </w:rPr>
        <w:t>按计划</w:t>
      </w:r>
      <w:r>
        <w:rPr>
          <w:rFonts w:ascii="仿宋" w:hAnsi="仿宋" w:eastAsia="仿宋" w:cs="仿宋_GB2312"/>
          <w:sz w:val="32"/>
          <w:szCs w:val="32"/>
        </w:rPr>
        <w:t>目标完成</w:t>
      </w:r>
      <w:r>
        <w:rPr>
          <w:rFonts w:hint="eastAsia" w:ascii="仿宋" w:hAnsi="仿宋" w:eastAsia="仿宋" w:cs="仿宋_GB2312"/>
          <w:sz w:val="32"/>
          <w:szCs w:val="32"/>
          <w:lang w:eastAsia="zh-CN"/>
        </w:rPr>
        <w:t>绩效项目进度，</w:t>
      </w:r>
      <w:r>
        <w:rPr>
          <w:rFonts w:ascii="仿宋" w:hAnsi="仿宋" w:eastAsia="仿宋" w:cs="仿宋_GB2312"/>
          <w:sz w:val="32"/>
          <w:szCs w:val="32"/>
        </w:rPr>
        <w:t>预算编制准确</w:t>
      </w:r>
      <w:r>
        <w:rPr>
          <w:rFonts w:hint="eastAsia" w:ascii="仿宋" w:hAnsi="仿宋" w:eastAsia="仿宋" w:cs="仿宋_GB2312"/>
          <w:sz w:val="32"/>
          <w:szCs w:val="32"/>
          <w:lang w:eastAsia="zh-CN"/>
        </w:rPr>
        <w:t>，</w:t>
      </w:r>
      <w:r>
        <w:rPr>
          <w:rFonts w:ascii="仿宋" w:hAnsi="仿宋" w:eastAsia="仿宋" w:cs="仿宋_GB2312"/>
          <w:sz w:val="32"/>
          <w:szCs w:val="32"/>
        </w:rPr>
        <w:t>支出控制</w:t>
      </w:r>
      <w:r>
        <w:rPr>
          <w:rFonts w:hint="eastAsia" w:ascii="仿宋" w:hAnsi="仿宋" w:eastAsia="仿宋" w:cs="仿宋_GB2312"/>
          <w:sz w:val="32"/>
          <w:szCs w:val="32"/>
          <w:lang w:eastAsia="zh-CN"/>
        </w:rPr>
        <w:t>合理，随时关注时事情况，进行</w:t>
      </w:r>
      <w:r>
        <w:rPr>
          <w:rFonts w:ascii="仿宋" w:hAnsi="仿宋" w:eastAsia="仿宋" w:cs="仿宋_GB2312"/>
          <w:sz w:val="32"/>
          <w:szCs w:val="32"/>
        </w:rPr>
        <w:t>预算动态调整</w:t>
      </w:r>
      <w:r>
        <w:rPr>
          <w:rFonts w:hint="eastAsia" w:ascii="仿宋" w:hAnsi="仿宋" w:eastAsia="仿宋" w:cs="仿宋_GB2312"/>
          <w:sz w:val="32"/>
          <w:szCs w:val="32"/>
          <w:lang w:eastAsia="zh-CN"/>
        </w:rPr>
        <w:t>，每季度对</w:t>
      </w:r>
      <w:r>
        <w:rPr>
          <w:rFonts w:ascii="仿宋" w:hAnsi="仿宋" w:eastAsia="仿宋" w:cs="仿宋_GB2312"/>
          <w:sz w:val="32"/>
          <w:szCs w:val="32"/>
        </w:rPr>
        <w:t>执行进度</w:t>
      </w:r>
      <w:r>
        <w:rPr>
          <w:rFonts w:hint="eastAsia" w:ascii="仿宋" w:hAnsi="仿宋" w:eastAsia="仿宋" w:cs="仿宋_GB2312"/>
          <w:sz w:val="32"/>
          <w:szCs w:val="32"/>
          <w:lang w:eastAsia="zh-CN"/>
        </w:rPr>
        <w:t>进行计算，准确完成</w:t>
      </w:r>
      <w:r>
        <w:rPr>
          <w:rFonts w:ascii="仿宋" w:hAnsi="仿宋" w:eastAsia="仿宋" w:cs="仿宋_GB2312"/>
          <w:sz w:val="32"/>
          <w:szCs w:val="32"/>
        </w:rPr>
        <w:t>预算</w:t>
      </w:r>
      <w:r>
        <w:rPr>
          <w:rFonts w:hint="eastAsia" w:ascii="仿宋" w:hAnsi="仿宋" w:eastAsia="仿宋" w:cs="仿宋_GB2312"/>
          <w:sz w:val="32"/>
          <w:szCs w:val="32"/>
          <w:lang w:eastAsia="zh-CN"/>
        </w:rPr>
        <w:t>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我院建立健全了收入、支出、政府采购、资产管理以及公务接待管理、差旅费、培训费等财务管理制度，成立了内部控制工作领导小组，加强内部控制和监督。资金使用符合国家财经法规和财务管理制度规定以及有关专项资金管理办法的规定。各项经费支出实行一支笔审批制度，严格公务接待费、差旅费、会议费和培训费审核审批程序</w:t>
      </w:r>
      <w:r>
        <w:rPr>
          <w:rFonts w:hint="eastAsia" w:ascii="仿宋" w:hAnsi="仿宋" w:eastAsia="仿宋" w:cs="仿宋_GB2312"/>
          <w:sz w:val="32"/>
          <w:szCs w:val="32"/>
          <w:lang w:eastAsia="zh-CN"/>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lang w:val="en-US" w:eastAsia="zh-CN"/>
        </w:rPr>
      </w:pPr>
      <w:r>
        <w:rPr>
          <w:rFonts w:ascii="仿宋" w:hAnsi="仿宋" w:eastAsia="仿宋" w:cs="仿宋_GB2312"/>
          <w:sz w:val="32"/>
          <w:szCs w:val="32"/>
          <w:lang w:val="en-US" w:eastAsia="zh-CN"/>
        </w:rPr>
        <w:t>预算执行方面，支出总额基本控制在预算总额以内；不存在截留或滞留专项资金情况。全年没有新建楼堂馆所。</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我院支持从开始全面启动县级医院综合改革，同步实施药品零销售，尤其是取消药品加成政策，直接减轻了群众就医负担，群众看病贵问题得到了一定程度缓解</w:t>
      </w:r>
      <w:r>
        <w:rPr>
          <w:rFonts w:hint="eastAsia" w:ascii="仿宋" w:hAnsi="仿宋" w:eastAsia="仿宋" w:cs="仿宋_GB2312"/>
          <w:sz w:val="32"/>
          <w:szCs w:val="32"/>
          <w:lang w:eastAsia="zh-CN"/>
        </w:rPr>
        <w:t>。</w:t>
      </w:r>
      <w:r>
        <w:rPr>
          <w:rFonts w:hint="eastAsia" w:ascii="仿宋" w:hAnsi="仿宋" w:eastAsia="仿宋" w:cs="仿宋_GB2312"/>
          <w:sz w:val="32"/>
          <w:szCs w:val="32"/>
        </w:rPr>
        <w:t>医院积极救治各种危、急、重病人，为我县保障人民群众的身体健康作出了积极的贡献，但长期以来，医院被日益沉重的医疗欠费所困扰，严重影响医院的以来救助治疗，</w:t>
      </w:r>
      <w:r>
        <w:rPr>
          <w:rFonts w:hint="eastAsia" w:ascii="仿宋" w:hAnsi="仿宋" w:eastAsia="仿宋" w:cs="仿宋_GB2312"/>
          <w:sz w:val="32"/>
          <w:szCs w:val="32"/>
          <w:lang w:eastAsia="zh-CN"/>
        </w:rPr>
        <w:t>得到财政处理欠费自己后解决了多名欠费病人费用。</w:t>
      </w:r>
    </w:p>
    <w:p>
      <w:pPr>
        <w:numPr>
          <w:ilvl w:val="0"/>
          <w:numId w:val="8"/>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存在问题。</w:t>
      </w:r>
    </w:p>
    <w:p>
      <w:pPr>
        <w:numPr>
          <w:ilvl w:val="0"/>
          <w:numId w:val="0"/>
        </w:numPr>
        <w:spacing w:line="580" w:lineRule="exact"/>
        <w:ind w:leftChars="200" w:firstLine="320" w:firstLineChars="100"/>
        <w:rPr>
          <w:rFonts w:ascii="仿宋" w:hAnsi="仿宋" w:eastAsia="仿宋" w:cs="仿宋_GB2312"/>
          <w:sz w:val="32"/>
          <w:szCs w:val="32"/>
        </w:rPr>
      </w:pPr>
      <w:r>
        <w:rPr>
          <w:rFonts w:hint="eastAsia" w:ascii="仿宋" w:hAnsi="仿宋" w:eastAsia="仿宋" w:cs="仿宋_GB2312"/>
          <w:sz w:val="32"/>
          <w:szCs w:val="32"/>
          <w:lang w:eastAsia="zh-CN"/>
        </w:rPr>
        <w:t>医</w:t>
      </w:r>
      <w:r>
        <w:rPr>
          <w:rFonts w:hint="eastAsia" w:ascii="仿宋" w:hAnsi="仿宋" w:eastAsia="仿宋" w:cs="仿宋_GB2312"/>
          <w:sz w:val="32"/>
          <w:szCs w:val="32"/>
        </w:rPr>
        <w:t>院由于基础差，建院时间短，基础设施较落后，需要不断发展，随着病人的增加，医院的医疗设施老旧，需要购买一批新的医疗设备服务老百姓，故需要财政拨款支持购买新的医疗设备等等。</w:t>
      </w:r>
    </w:p>
    <w:p>
      <w:pPr>
        <w:numPr>
          <w:ilvl w:val="0"/>
          <w:numId w:val="8"/>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改进建议。</w:t>
      </w:r>
    </w:p>
    <w:p>
      <w:pPr>
        <w:numPr>
          <w:ilvl w:val="0"/>
          <w:numId w:val="0"/>
        </w:numPr>
        <w:spacing w:line="580" w:lineRule="exact"/>
        <w:ind w:left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继续加强财务管理，绩效管理。</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8"/>
          <w:rFonts w:ascii="仿宋" w:hAnsi="仿宋" w:eastAsia="仿宋"/>
          <w:b w:val="0"/>
          <w:bCs w:val="0"/>
          <w:sz w:val="32"/>
          <w:szCs w:val="32"/>
        </w:rPr>
      </w:pPr>
      <w:bookmarkStart w:id="57" w:name="_Toc15396617"/>
      <w:r>
        <w:rPr>
          <w:rStyle w:val="28"/>
          <w:rFonts w:hint="eastAsia" w:ascii="仿宋" w:hAnsi="仿宋" w:eastAsia="仿宋"/>
          <w:b w:val="0"/>
          <w:bCs w:val="0"/>
          <w:sz w:val="32"/>
          <w:szCs w:val="32"/>
        </w:rPr>
        <w:t>附件2</w:t>
      </w:r>
      <w:bookmarkEnd w:id="57"/>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2018年取消药品加成补助项目支出绩效评价报告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取消药品加成之前，公立医院收入主要由三大块组成，医疗服务收入、药品加成收入、政府财政补助，其中药品加成收入普遍占四成以上。药品加成取消后医院的收入“窟窿”怎么补？即通过调整医疗服务价格弥补80%或70%，政府补助10%或20%</w:t>
      </w:r>
      <w:r>
        <w:rPr>
          <w:rFonts w:hint="eastAsia" w:ascii="仿宋" w:hAnsi="仿宋" w:eastAsia="仿宋" w:cs="仿宋_GB2312"/>
          <w:sz w:val="32"/>
          <w:szCs w:val="32"/>
          <w:lang w:eastAsia="zh-CN"/>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医</w:t>
      </w:r>
      <w:r>
        <w:rPr>
          <w:rFonts w:hint="eastAsia" w:ascii="仿宋" w:hAnsi="仿宋" w:eastAsia="仿宋" w:cs="仿宋_GB2312"/>
          <w:sz w:val="32"/>
          <w:szCs w:val="32"/>
        </w:rPr>
        <w:t>院支持从开始全面启动县级医院综合改革，同步实施药品零销售，尤其是取消药品加成政策，直接减轻了群众就医负担，群众看病贵问题得到了一定程度缓解</w:t>
      </w:r>
      <w:r>
        <w:rPr>
          <w:rFonts w:hint="eastAsia" w:ascii="仿宋" w:hAnsi="仿宋" w:eastAsia="仿宋" w:cs="仿宋_GB2312"/>
          <w:sz w:val="32"/>
          <w:szCs w:val="32"/>
          <w:lang w:eastAsia="zh-CN"/>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长期以来，公立医院医疗服务收费实行严格的政府定价，价格水平远远低于医疗服务的成本，挂号费、诊察费、护理费等体现劳务技术价值的价格偏低，不能体现医务人员的劳动价值，也无法补偿医院运营的成本。理顺价格体系，需要精确核定挂号费、诊察费、护理费等成本，确定合理价格区间，充分体现医务人员劳务技术价值。</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通过财政补助资金。严格按照医院的项目管理制度，对发生的每一笔支出进行核算，保证了资金安全，使得项目得以顺利的实施。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每个患者就诊的药费收入减少，要求医院要提升服务，吸引更多的患者来医院就诊。医改在一定程度上激发了医院自我改革、提升服务的内生动力。</w:t>
      </w:r>
    </w:p>
    <w:p>
      <w:pPr>
        <w:numPr>
          <w:ilvl w:val="0"/>
          <w:numId w:val="9"/>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存在主要问题</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both"/>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通过财政补助资金。使得我院取消药品加成后资金紧张的局面得到部分缓解，提高了部分医务人员待遇。由</w:t>
      </w:r>
      <w:r>
        <w:rPr>
          <w:rFonts w:hint="default" w:ascii="仿宋" w:hAnsi="仿宋" w:eastAsia="仿宋" w:cs="仿宋_GB2312"/>
          <w:b w:val="0"/>
          <w:i w:val="0"/>
          <w:sz w:val="32"/>
          <w:szCs w:val="32"/>
          <w:lang w:eastAsia="zh-CN"/>
        </w:rPr>
        <w:t>于</w:t>
      </w:r>
      <w:r>
        <w:rPr>
          <w:rFonts w:hint="eastAsia" w:ascii="仿宋" w:hAnsi="仿宋" w:eastAsia="仿宋" w:cs="仿宋_GB2312"/>
          <w:b w:val="0"/>
          <w:i w:val="0"/>
          <w:sz w:val="32"/>
          <w:szCs w:val="32"/>
          <w:lang w:eastAsia="zh-CN"/>
        </w:rPr>
        <w:t>取消药品加成补助</w:t>
      </w:r>
      <w:r>
        <w:rPr>
          <w:rFonts w:hint="default" w:ascii="仿宋" w:hAnsi="仿宋" w:eastAsia="仿宋" w:cs="仿宋_GB2312"/>
          <w:b w:val="0"/>
          <w:i w:val="0"/>
          <w:sz w:val="32"/>
          <w:szCs w:val="32"/>
          <w:lang w:eastAsia="zh-CN"/>
        </w:rPr>
        <w:t>有限，再加上“不能增加患者看病负担”这一红线约束，诊疗费、挂号费的提升都非常有限，难以弥补取消加成带来的利润损失</w:t>
      </w:r>
      <w:r>
        <w:rPr>
          <w:rFonts w:hint="eastAsia" w:ascii="仿宋" w:hAnsi="仿宋" w:eastAsia="仿宋" w:cs="仿宋_GB2312"/>
          <w:b w:val="0"/>
          <w:i w:val="0"/>
          <w:sz w:val="32"/>
          <w:szCs w:val="32"/>
          <w:lang w:eastAsia="zh-CN"/>
        </w:rPr>
        <w:t>。</w:t>
      </w:r>
    </w:p>
    <w:p>
      <w:pPr>
        <w:numPr>
          <w:ilvl w:val="0"/>
          <w:numId w:val="9"/>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相关措施建议</w:t>
      </w:r>
    </w:p>
    <w:p>
      <w:pPr>
        <w:numPr>
          <w:ilvl w:val="0"/>
          <w:numId w:val="0"/>
        </w:numPr>
        <w:spacing w:line="580" w:lineRule="exact"/>
        <w:ind w:leftChars="200" w:firstLine="640" w:firstLineChars="200"/>
        <w:rPr>
          <w:rFonts w:hint="eastAsia" w:ascii="仿宋" w:hAnsi="仿宋" w:eastAsia="仿宋" w:cs="仿宋_GB2312"/>
          <w:b w:val="0"/>
          <w:i w:val="0"/>
          <w:kern w:val="0"/>
          <w:sz w:val="32"/>
          <w:szCs w:val="32"/>
          <w:lang w:val="en-US" w:eastAsia="zh-CN" w:bidi="ar"/>
        </w:rPr>
      </w:pPr>
      <w:r>
        <w:rPr>
          <w:rFonts w:hint="eastAsia" w:ascii="仿宋" w:hAnsi="仿宋" w:eastAsia="仿宋" w:cs="仿宋_GB2312"/>
          <w:b w:val="0"/>
          <w:i w:val="0"/>
          <w:kern w:val="0"/>
          <w:sz w:val="32"/>
          <w:szCs w:val="32"/>
          <w:lang w:val="en-US" w:eastAsia="zh-CN" w:bidi="ar"/>
        </w:rPr>
        <w:t>医院必须协调推进、人事薪酬、药品流通、等方面的改进尝试，激发医院和医务人员合理用药，仍然需要政府提高取消药品加成的财政补助。</w:t>
      </w:r>
    </w:p>
    <w:p>
      <w:pPr>
        <w:spacing w:line="600" w:lineRule="exact"/>
        <w:jc w:val="center"/>
        <w:outlineLvl w:val="0"/>
        <w:rPr>
          <w:rFonts w:hint="eastAsia" w:ascii="仿宋" w:hAnsi="仿宋" w:eastAsia="仿宋" w:cs="仿宋_GB2312"/>
          <w:b w:val="0"/>
          <w:i w:val="0"/>
          <w:kern w:val="0"/>
          <w:sz w:val="32"/>
          <w:szCs w:val="32"/>
          <w:lang w:val="en-US" w:eastAsia="zh-CN" w:bidi="ar"/>
        </w:rPr>
      </w:pPr>
      <w:bookmarkStart w:id="58"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bookmarkEnd w:id="53"/>
    <w:bookmarkEnd w:id="58"/>
    <w:p>
      <w:pPr>
        <w:spacing w:line="600" w:lineRule="exact"/>
        <w:ind w:firstLine="2640" w:firstLineChars="600"/>
        <w:jc w:val="both"/>
        <w:outlineLvl w:val="0"/>
        <w:rPr>
          <w:rStyle w:val="28"/>
          <w:rFonts w:ascii="黑体" w:hAnsi="黑体" w:eastAsia="黑体"/>
          <w:b w:val="0"/>
        </w:rPr>
      </w:pPr>
      <w:bookmarkStart w:id="59" w:name="_Toc15396619"/>
      <w:r>
        <w:rPr>
          <w:rFonts w:hint="eastAsia" w:ascii="黑体" w:hAnsi="黑体" w:eastAsia="黑体"/>
          <w:color w:val="000000"/>
          <w:sz w:val="44"/>
          <w:szCs w:val="44"/>
        </w:rPr>
        <w:t>第</w:t>
      </w:r>
      <w:r>
        <w:rPr>
          <w:rStyle w:val="28"/>
          <w:rFonts w:hint="eastAsia" w:ascii="黑体" w:hAnsi="黑体" w:eastAsia="黑体"/>
          <w:b w:val="0"/>
        </w:rPr>
        <w:t>五部分 附表</w:t>
      </w:r>
    </w:p>
    <w:p>
      <w:pPr>
        <w:pStyle w:val="3"/>
        <w:rPr>
          <w:rFonts w:ascii="仿宋" w:hAnsi="仿宋" w:eastAsia="仿宋"/>
          <w:color w:val="000000"/>
        </w:rPr>
      </w:pPr>
      <w:r>
        <w:rPr>
          <w:rFonts w:hint="eastAsia" w:ascii="仿宋" w:hAnsi="仿宋" w:eastAsia="仿宋"/>
          <w:b w:val="0"/>
          <w:color w:val="000000"/>
        </w:rPr>
        <w:t>一、收</w:t>
      </w:r>
      <w:r>
        <w:rPr>
          <w:rStyle w:val="29"/>
          <w:rFonts w:hint="eastAsia" w:ascii="仿宋" w:hAnsi="仿宋" w:eastAsia="仿宋"/>
          <w:b w:val="0"/>
          <w:bCs w:val="0"/>
        </w:rPr>
        <w:t>入支出决算总表</w:t>
      </w:r>
      <w:bookmarkEnd w:id="59"/>
    </w:p>
    <w:p>
      <w:pPr>
        <w:pStyle w:val="3"/>
        <w:rPr>
          <w:rFonts w:ascii="仿宋" w:hAnsi="仿宋" w:eastAsia="仿宋"/>
          <w:color w:val="000000"/>
        </w:rPr>
      </w:pPr>
      <w:bookmarkStart w:id="60" w:name="_Toc15396620"/>
      <w:r>
        <w:rPr>
          <w:rFonts w:hint="eastAsia" w:ascii="仿宋" w:hAnsi="仿宋" w:eastAsia="仿宋"/>
          <w:b w:val="0"/>
          <w:color w:val="000000"/>
        </w:rPr>
        <w:t>二、收</w:t>
      </w:r>
      <w:r>
        <w:rPr>
          <w:rStyle w:val="29"/>
          <w:rFonts w:hint="eastAsia" w:ascii="仿宋" w:hAnsi="仿宋" w:eastAsia="仿宋"/>
          <w:b w:val="0"/>
          <w:bCs w:val="0"/>
        </w:rPr>
        <w:t>入总表</w:t>
      </w:r>
      <w:bookmarkEnd w:id="60"/>
    </w:p>
    <w:p>
      <w:pPr>
        <w:pStyle w:val="3"/>
        <w:rPr>
          <w:rFonts w:ascii="仿宋" w:hAnsi="仿宋" w:eastAsia="仿宋"/>
          <w:color w:val="000000"/>
        </w:rPr>
      </w:pPr>
      <w:bookmarkStart w:id="61" w:name="_Toc15396621"/>
      <w:r>
        <w:rPr>
          <w:rStyle w:val="29"/>
          <w:rFonts w:hint="eastAsia" w:ascii="仿宋" w:hAnsi="仿宋" w:eastAsia="仿宋"/>
          <w:b w:val="0"/>
          <w:bCs w:val="0"/>
        </w:rPr>
        <w:t>三、</w:t>
      </w:r>
      <w:r>
        <w:rPr>
          <w:rFonts w:hint="eastAsia" w:ascii="仿宋" w:hAnsi="仿宋" w:eastAsia="仿宋"/>
          <w:b w:val="0"/>
          <w:color w:val="000000"/>
        </w:rPr>
        <w:t>支</w:t>
      </w:r>
      <w:r>
        <w:rPr>
          <w:rStyle w:val="29"/>
          <w:rFonts w:hint="eastAsia" w:ascii="仿宋" w:hAnsi="仿宋" w:eastAsia="仿宋"/>
          <w:b w:val="0"/>
          <w:bCs w:val="0"/>
        </w:rPr>
        <w:t>出总表</w:t>
      </w:r>
      <w:bookmarkEnd w:id="61"/>
    </w:p>
    <w:p>
      <w:pPr>
        <w:pStyle w:val="3"/>
        <w:rPr>
          <w:rFonts w:ascii="仿宋" w:hAnsi="仿宋" w:eastAsia="仿宋"/>
          <w:b w:val="0"/>
          <w:color w:val="000000"/>
        </w:rPr>
      </w:pPr>
      <w:bookmarkStart w:id="62" w:name="_Toc15396622"/>
      <w:r>
        <w:rPr>
          <w:rStyle w:val="29"/>
          <w:rFonts w:hint="eastAsia" w:ascii="仿宋" w:hAnsi="仿宋" w:eastAsia="仿宋"/>
          <w:b w:val="0"/>
          <w:bCs w:val="0"/>
        </w:rPr>
        <w:t>四、</w:t>
      </w:r>
      <w:r>
        <w:rPr>
          <w:rFonts w:hint="eastAsia" w:ascii="仿宋" w:hAnsi="仿宋" w:eastAsia="仿宋"/>
          <w:b w:val="0"/>
          <w:color w:val="000000"/>
        </w:rPr>
        <w:t>财</w:t>
      </w:r>
      <w:r>
        <w:rPr>
          <w:rStyle w:val="29"/>
          <w:rFonts w:hint="eastAsia" w:ascii="仿宋" w:hAnsi="仿宋" w:eastAsia="仿宋"/>
          <w:b w:val="0"/>
          <w:bCs w:val="0"/>
        </w:rPr>
        <w:t>政拨款收入支出决算总表</w:t>
      </w:r>
      <w:bookmarkEnd w:id="62"/>
    </w:p>
    <w:p>
      <w:pPr>
        <w:pStyle w:val="3"/>
        <w:rPr>
          <w:rFonts w:ascii="仿宋" w:hAnsi="仿宋" w:eastAsia="仿宋"/>
          <w:color w:val="000000"/>
        </w:rPr>
      </w:pPr>
      <w:bookmarkStart w:id="63" w:name="_Toc15396623"/>
      <w:r>
        <w:rPr>
          <w:rStyle w:val="29"/>
          <w:rFonts w:hint="eastAsia" w:ascii="仿宋" w:hAnsi="仿宋" w:eastAsia="仿宋"/>
          <w:b w:val="0"/>
          <w:bCs w:val="0"/>
        </w:rPr>
        <w:t>五、</w:t>
      </w:r>
      <w:r>
        <w:rPr>
          <w:rFonts w:hint="eastAsia" w:ascii="仿宋" w:hAnsi="仿宋" w:eastAsia="仿宋"/>
          <w:b w:val="0"/>
          <w:color w:val="000000"/>
        </w:rPr>
        <w:t>财</w:t>
      </w:r>
      <w:r>
        <w:rPr>
          <w:rStyle w:val="29"/>
          <w:rFonts w:hint="eastAsia" w:ascii="仿宋" w:hAnsi="仿宋" w:eastAsia="仿宋"/>
          <w:b w:val="0"/>
          <w:bCs w:val="0"/>
        </w:rPr>
        <w:t>政拨款支出决算明细表（政府经济分类科目）</w:t>
      </w:r>
      <w:bookmarkEnd w:id="63"/>
    </w:p>
    <w:p>
      <w:pPr>
        <w:pStyle w:val="3"/>
        <w:rPr>
          <w:rFonts w:ascii="仿宋" w:hAnsi="仿宋" w:eastAsia="仿宋"/>
          <w:color w:val="000000"/>
        </w:rPr>
      </w:pPr>
      <w:bookmarkStart w:id="64" w:name="_Toc15396624"/>
      <w:r>
        <w:rPr>
          <w:rStyle w:val="29"/>
          <w:rFonts w:hint="eastAsia" w:ascii="仿宋" w:hAnsi="仿宋" w:eastAsia="仿宋"/>
          <w:b w:val="0"/>
          <w:bCs w:val="0"/>
        </w:rPr>
        <w:t>六、</w:t>
      </w:r>
      <w:r>
        <w:rPr>
          <w:rFonts w:hint="eastAsia" w:ascii="仿宋" w:hAnsi="仿宋" w:eastAsia="仿宋"/>
          <w:b w:val="0"/>
          <w:color w:val="000000"/>
        </w:rPr>
        <w:t>一</w:t>
      </w:r>
      <w:r>
        <w:rPr>
          <w:rStyle w:val="29"/>
          <w:rFonts w:hint="eastAsia" w:ascii="仿宋" w:hAnsi="仿宋" w:eastAsia="仿宋"/>
          <w:b w:val="0"/>
          <w:bCs w:val="0"/>
        </w:rPr>
        <w:t>般公共预算财政拨款支出决算表</w:t>
      </w:r>
      <w:bookmarkEnd w:id="64"/>
    </w:p>
    <w:p>
      <w:pPr>
        <w:pStyle w:val="3"/>
        <w:rPr>
          <w:rFonts w:ascii="仿宋" w:hAnsi="仿宋" w:eastAsia="仿宋"/>
          <w:color w:val="000000"/>
        </w:rPr>
      </w:pPr>
      <w:bookmarkStart w:id="65" w:name="_Toc15396625"/>
      <w:r>
        <w:rPr>
          <w:rStyle w:val="29"/>
          <w:rFonts w:hint="eastAsia" w:ascii="仿宋" w:hAnsi="仿宋" w:eastAsia="仿宋"/>
          <w:b w:val="0"/>
          <w:bCs w:val="0"/>
        </w:rPr>
        <w:t>七、</w:t>
      </w:r>
      <w:r>
        <w:rPr>
          <w:rFonts w:hint="eastAsia" w:ascii="仿宋" w:hAnsi="仿宋" w:eastAsia="仿宋"/>
          <w:b w:val="0"/>
          <w:color w:val="000000"/>
        </w:rPr>
        <w:t>一</w:t>
      </w:r>
      <w:r>
        <w:rPr>
          <w:rStyle w:val="29"/>
          <w:rFonts w:hint="eastAsia" w:ascii="仿宋" w:hAnsi="仿宋" w:eastAsia="仿宋"/>
          <w:b w:val="0"/>
          <w:bCs w:val="0"/>
        </w:rPr>
        <w:t>般公共预算财政拨款支出决算明细表</w:t>
      </w:r>
      <w:bookmarkEnd w:id="65"/>
    </w:p>
    <w:p>
      <w:pPr>
        <w:pStyle w:val="3"/>
        <w:rPr>
          <w:rFonts w:ascii="仿宋" w:hAnsi="仿宋" w:eastAsia="仿宋"/>
          <w:color w:val="000000"/>
        </w:rPr>
      </w:pPr>
      <w:bookmarkStart w:id="66" w:name="_Toc15396626"/>
      <w:r>
        <w:rPr>
          <w:rStyle w:val="29"/>
          <w:rFonts w:hint="eastAsia" w:ascii="仿宋" w:hAnsi="仿宋" w:eastAsia="仿宋"/>
          <w:b w:val="0"/>
          <w:bCs w:val="0"/>
        </w:rPr>
        <w:t>八、</w:t>
      </w:r>
      <w:r>
        <w:rPr>
          <w:rFonts w:hint="eastAsia" w:ascii="仿宋" w:hAnsi="仿宋" w:eastAsia="仿宋"/>
          <w:b w:val="0"/>
          <w:color w:val="000000"/>
        </w:rPr>
        <w:t>一</w:t>
      </w:r>
      <w:r>
        <w:rPr>
          <w:rStyle w:val="29"/>
          <w:rFonts w:hint="eastAsia" w:ascii="仿宋" w:hAnsi="仿宋" w:eastAsia="仿宋"/>
          <w:b w:val="0"/>
          <w:bCs w:val="0"/>
        </w:rPr>
        <w:t>般公共预算财政拨款基本支出决算表</w:t>
      </w:r>
      <w:bookmarkEnd w:id="66"/>
    </w:p>
    <w:p>
      <w:pPr>
        <w:pStyle w:val="3"/>
        <w:rPr>
          <w:rFonts w:ascii="仿宋" w:hAnsi="仿宋" w:eastAsia="仿宋"/>
          <w:color w:val="000000"/>
        </w:rPr>
      </w:pPr>
      <w:bookmarkStart w:id="67" w:name="_Toc15396627"/>
      <w:r>
        <w:rPr>
          <w:rStyle w:val="29"/>
          <w:rFonts w:hint="eastAsia" w:ascii="仿宋" w:hAnsi="仿宋" w:eastAsia="仿宋"/>
          <w:b w:val="0"/>
          <w:bCs w:val="0"/>
        </w:rPr>
        <w:t>九、</w:t>
      </w:r>
      <w:r>
        <w:rPr>
          <w:rFonts w:hint="eastAsia" w:ascii="仿宋" w:hAnsi="仿宋" w:eastAsia="仿宋"/>
          <w:b w:val="0"/>
          <w:color w:val="000000"/>
        </w:rPr>
        <w:t>一</w:t>
      </w:r>
      <w:r>
        <w:rPr>
          <w:rStyle w:val="29"/>
          <w:rFonts w:hint="eastAsia" w:ascii="仿宋" w:hAnsi="仿宋" w:eastAsia="仿宋"/>
          <w:b w:val="0"/>
          <w:bCs w:val="0"/>
        </w:rPr>
        <w:t>般公共预算财政拨款项目支出决算表</w:t>
      </w:r>
      <w:bookmarkEnd w:id="67"/>
    </w:p>
    <w:p>
      <w:pPr>
        <w:pStyle w:val="3"/>
        <w:rPr>
          <w:rFonts w:ascii="仿宋" w:hAnsi="仿宋" w:eastAsia="仿宋"/>
          <w:color w:val="000000"/>
        </w:rPr>
      </w:pPr>
      <w:bookmarkStart w:id="68" w:name="_Toc15396628"/>
      <w:r>
        <w:rPr>
          <w:rStyle w:val="29"/>
          <w:rFonts w:hint="eastAsia" w:ascii="仿宋" w:hAnsi="仿宋" w:eastAsia="仿宋"/>
          <w:b w:val="0"/>
          <w:bCs w:val="0"/>
        </w:rPr>
        <w:t>十、</w:t>
      </w:r>
      <w:r>
        <w:rPr>
          <w:rFonts w:hint="eastAsia" w:ascii="仿宋" w:hAnsi="仿宋" w:eastAsia="仿宋"/>
          <w:b w:val="0"/>
          <w:color w:val="000000"/>
        </w:rPr>
        <w:t>一</w:t>
      </w:r>
      <w:r>
        <w:rPr>
          <w:rStyle w:val="29"/>
          <w:rFonts w:hint="eastAsia" w:ascii="仿宋" w:hAnsi="仿宋" w:eastAsia="仿宋"/>
          <w:b w:val="0"/>
          <w:bCs w:val="0"/>
        </w:rPr>
        <w:t>般公共预算财政拨款“三公”经费支出决算表</w:t>
      </w:r>
      <w:bookmarkEnd w:id="68"/>
    </w:p>
    <w:p>
      <w:pPr>
        <w:pStyle w:val="3"/>
        <w:rPr>
          <w:rFonts w:ascii="仿宋" w:hAnsi="仿宋" w:eastAsia="仿宋"/>
          <w:color w:val="000000"/>
        </w:rPr>
      </w:pPr>
      <w:bookmarkStart w:id="69" w:name="_Toc15396629"/>
      <w:r>
        <w:rPr>
          <w:rStyle w:val="29"/>
          <w:rFonts w:hint="eastAsia" w:ascii="仿宋" w:hAnsi="仿宋" w:eastAsia="仿宋"/>
          <w:b w:val="0"/>
          <w:bCs w:val="0"/>
        </w:rPr>
        <w:t>十一、</w:t>
      </w:r>
      <w:r>
        <w:rPr>
          <w:rFonts w:hint="eastAsia" w:ascii="仿宋" w:hAnsi="仿宋" w:eastAsia="仿宋"/>
          <w:b w:val="0"/>
          <w:color w:val="000000"/>
        </w:rPr>
        <w:t>政</w:t>
      </w:r>
      <w:r>
        <w:rPr>
          <w:rStyle w:val="29"/>
          <w:rFonts w:hint="eastAsia" w:ascii="仿宋" w:hAnsi="仿宋" w:eastAsia="仿宋"/>
          <w:b w:val="0"/>
          <w:bCs w:val="0"/>
        </w:rPr>
        <w:t>府性基金预算财政拨款收入支出决算表</w:t>
      </w:r>
      <w:bookmarkEnd w:id="69"/>
    </w:p>
    <w:p>
      <w:pPr>
        <w:pStyle w:val="3"/>
        <w:rPr>
          <w:rFonts w:ascii="仿宋" w:hAnsi="仿宋" w:eastAsia="仿宋"/>
          <w:color w:val="000000"/>
        </w:rPr>
      </w:pPr>
      <w:bookmarkStart w:id="70" w:name="_Toc15396630"/>
      <w:r>
        <w:rPr>
          <w:rStyle w:val="29"/>
          <w:rFonts w:hint="eastAsia" w:ascii="仿宋" w:hAnsi="仿宋" w:eastAsia="仿宋"/>
          <w:b w:val="0"/>
          <w:bCs w:val="0"/>
        </w:rPr>
        <w:t>十二、</w:t>
      </w:r>
      <w:r>
        <w:rPr>
          <w:rFonts w:hint="eastAsia" w:ascii="仿宋" w:hAnsi="仿宋" w:eastAsia="仿宋"/>
          <w:b w:val="0"/>
          <w:color w:val="000000"/>
        </w:rPr>
        <w:t>政</w:t>
      </w:r>
      <w:r>
        <w:rPr>
          <w:rStyle w:val="29"/>
          <w:rFonts w:hint="eastAsia" w:ascii="仿宋" w:hAnsi="仿宋" w:eastAsia="仿宋"/>
          <w:b w:val="0"/>
          <w:bCs w:val="0"/>
        </w:rPr>
        <w:t>府性基金预算财政拨款“三公”经费支出决算表</w:t>
      </w:r>
      <w:bookmarkEnd w:id="70"/>
    </w:p>
    <w:p>
      <w:pPr>
        <w:pStyle w:val="3"/>
        <w:rPr>
          <w:rFonts w:ascii="仿宋" w:hAnsi="仿宋" w:eastAsia="仿宋"/>
          <w:color w:val="000000" w:themeColor="text1"/>
          <w14:textFill>
            <w14:solidFill>
              <w14:schemeClr w14:val="tx1"/>
            </w14:solidFill>
          </w14:textFill>
        </w:rPr>
      </w:pPr>
      <w:bookmarkStart w:id="71" w:name="_Toc15396631"/>
      <w:r>
        <w:rPr>
          <w:rStyle w:val="29"/>
          <w:rFonts w:hint="eastAsia" w:ascii="仿宋" w:hAnsi="仿宋" w:eastAsia="仿宋"/>
          <w:b w:val="0"/>
          <w:bCs w:val="0"/>
        </w:rPr>
        <w:t>十三、</w:t>
      </w:r>
      <w:r>
        <w:rPr>
          <w:rFonts w:hint="eastAsia" w:ascii="仿宋" w:hAnsi="仿宋" w:eastAsia="仿宋"/>
          <w:b w:val="0"/>
          <w:color w:val="000000"/>
        </w:rPr>
        <w:t>国</w:t>
      </w:r>
      <w:r>
        <w:rPr>
          <w:rStyle w:val="29"/>
          <w:rFonts w:hint="eastAsia" w:ascii="仿宋" w:hAnsi="仿宋" w:eastAsia="仿宋"/>
          <w:b w:val="0"/>
          <w:bCs w:val="0"/>
        </w:rPr>
        <w:t>有资本经营预算支出决算表</w:t>
      </w:r>
      <w:bookmarkEnd w:id="7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10</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C37A57"/>
    <w:multiLevelType w:val="singleLevel"/>
    <w:tmpl w:val="8BC37A57"/>
    <w:lvl w:ilvl="0" w:tentative="0">
      <w:start w:val="2"/>
      <w:numFmt w:val="chineseCounting"/>
      <w:suff w:val="nothing"/>
      <w:lvlText w:val="（%1）"/>
      <w:lvlJc w:val="left"/>
      <w:rPr>
        <w:rFonts w:hint="eastAsia"/>
      </w:rPr>
    </w:lvl>
  </w:abstractNum>
  <w:abstractNum w:abstractNumId="1">
    <w:nsid w:val="B026C66B"/>
    <w:multiLevelType w:val="singleLevel"/>
    <w:tmpl w:val="B026C66B"/>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F6E56D79"/>
    <w:multiLevelType w:val="singleLevel"/>
    <w:tmpl w:val="F6E56D79"/>
    <w:lvl w:ilvl="0" w:tentative="0">
      <w:start w:val="3"/>
      <w:numFmt w:val="chineseCounting"/>
      <w:suff w:val="nothing"/>
      <w:lvlText w:val="%1、"/>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8">
    <w:nsid w:val="7DB46A1F"/>
    <w:multiLevelType w:val="singleLevel"/>
    <w:tmpl w:val="7DB46A1F"/>
    <w:lvl w:ilvl="0" w:tentative="0">
      <w:start w:val="2"/>
      <w:numFmt w:val="chineseCounting"/>
      <w:suff w:val="nothing"/>
      <w:lvlText w:val="（%1）"/>
      <w:lvlJc w:val="left"/>
      <w:rPr>
        <w:rFonts w:hint="eastAsia"/>
      </w:rPr>
    </w:lvl>
  </w:abstractNum>
  <w:num w:numId="1">
    <w:abstractNumId w:val="6"/>
  </w:num>
  <w:num w:numId="2">
    <w:abstractNumId w:val="2"/>
  </w:num>
  <w:num w:numId="3">
    <w:abstractNumId w:val="7"/>
  </w:num>
  <w:num w:numId="4">
    <w:abstractNumId w:val="4"/>
  </w:num>
  <w:num w:numId="5">
    <w:abstractNumId w:val="1"/>
  </w:num>
  <w:num w:numId="6">
    <w:abstractNumId w:val="3"/>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078A6"/>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74E75F9"/>
    <w:rsid w:val="0BA26240"/>
    <w:rsid w:val="0E15049A"/>
    <w:rsid w:val="10C055FF"/>
    <w:rsid w:val="165826B0"/>
    <w:rsid w:val="16BB723D"/>
    <w:rsid w:val="175373D7"/>
    <w:rsid w:val="175C549B"/>
    <w:rsid w:val="18793B1E"/>
    <w:rsid w:val="194A3F42"/>
    <w:rsid w:val="210D42E6"/>
    <w:rsid w:val="2267326A"/>
    <w:rsid w:val="240371BF"/>
    <w:rsid w:val="29FD04D3"/>
    <w:rsid w:val="2A3D5331"/>
    <w:rsid w:val="2C324995"/>
    <w:rsid w:val="2CDA1B16"/>
    <w:rsid w:val="319F7F4E"/>
    <w:rsid w:val="3B60425B"/>
    <w:rsid w:val="43A3148A"/>
    <w:rsid w:val="452E47E7"/>
    <w:rsid w:val="48913CE8"/>
    <w:rsid w:val="4EE00236"/>
    <w:rsid w:val="4F895BC2"/>
    <w:rsid w:val="57F25105"/>
    <w:rsid w:val="595F27EF"/>
    <w:rsid w:val="5D1F1AFA"/>
    <w:rsid w:val="60015F82"/>
    <w:rsid w:val="621A61FD"/>
    <w:rsid w:val="63C145F4"/>
    <w:rsid w:val="68E67D6F"/>
    <w:rsid w:val="6A6B75BD"/>
    <w:rsid w:val="6A851831"/>
    <w:rsid w:val="77481327"/>
    <w:rsid w:val="77BA3A42"/>
    <w:rsid w:val="7F2E261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qFormat/>
    <w:uiPriority w:val="0"/>
    <w:rPr>
      <w:rFonts w:ascii="宋体" w:hAnsi="Courier New" w:cs="Courier New"/>
      <w:szCs w:val="21"/>
    </w:rPr>
  </w:style>
  <w:style w:type="paragraph" w:styleId="8">
    <w:name w:val="Balloon Text"/>
    <w:basedOn w:val="1"/>
    <w:link w:val="31"/>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16">
    <w:name w:val="Strong"/>
    <w:basedOn w:val="15"/>
    <w:qFormat/>
    <w:uiPriority w:val="99"/>
    <w:rPr>
      <w:b/>
    </w:rPr>
  </w:style>
  <w:style w:type="character" w:styleId="17">
    <w:name w:val="FollowedHyperlink"/>
    <w:basedOn w:val="15"/>
    <w:semiHidden/>
    <w:unhideWhenUsed/>
    <w:qFormat/>
    <w:uiPriority w:val="99"/>
    <w:rPr>
      <w:color w:val="333333"/>
      <w:u w:val="none"/>
    </w:rPr>
  </w:style>
  <w:style w:type="character" w:styleId="18">
    <w:name w:val="Emphasis"/>
    <w:basedOn w:val="15"/>
    <w:qFormat/>
    <w:uiPriority w:val="20"/>
    <w:rPr>
      <w:rFonts w:hint="eastAsia" w:ascii="微软雅黑" w:hAnsi="微软雅黑" w:eastAsia="微软雅黑" w:cs="微软雅黑"/>
    </w:rPr>
  </w:style>
  <w:style w:type="character" w:styleId="19">
    <w:name w:val="Hyperlink"/>
    <w:basedOn w:val="15"/>
    <w:unhideWhenUsed/>
    <w:qFormat/>
    <w:uiPriority w:val="99"/>
    <w:rPr>
      <w:color w:val="0000FF" w:themeColor="hyperlink"/>
      <w:u w:val="single"/>
      <w14:textFill>
        <w14:solidFill>
          <w14:schemeClr w14:val="hlink"/>
        </w14:solidFill>
      </w14:textFill>
    </w:rPr>
  </w:style>
  <w:style w:type="character" w:customStyle="1" w:styleId="20">
    <w:name w:val="Header Char"/>
    <w:basedOn w:val="15"/>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5"/>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5"/>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7">
    <w:name w:val="List Paragraph"/>
    <w:basedOn w:val="1"/>
    <w:qFormat/>
    <w:uiPriority w:val="34"/>
    <w:pPr>
      <w:ind w:firstLine="420" w:firstLineChars="200"/>
    </w:pPr>
  </w:style>
  <w:style w:type="character" w:customStyle="1" w:styleId="28">
    <w:name w:val="标题 1 Char"/>
    <w:basedOn w:val="15"/>
    <w:link w:val="2"/>
    <w:uiPriority w:val="9"/>
    <w:rPr>
      <w:rFonts w:ascii="Times New Roman" w:hAnsi="Times New Roman"/>
      <w:b/>
      <w:bCs/>
      <w:kern w:val="44"/>
      <w:sz w:val="44"/>
      <w:szCs w:val="44"/>
    </w:rPr>
  </w:style>
  <w:style w:type="character" w:customStyle="1" w:styleId="29">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5"/>
    <w:link w:val="8"/>
    <w:semiHidden/>
    <w:qFormat/>
    <w:uiPriority w:val="99"/>
    <w:rPr>
      <w:rFonts w:ascii="Times New Roman" w:hAnsi="Times New Roman"/>
      <w:kern w:val="2"/>
      <w:sz w:val="18"/>
      <w:szCs w:val="18"/>
    </w:rPr>
  </w:style>
  <w:style w:type="character" w:customStyle="1" w:styleId="32">
    <w:name w:val="标题 3 Char"/>
    <w:basedOn w:val="15"/>
    <w:link w:val="4"/>
    <w:qFormat/>
    <w:uiPriority w:val="9"/>
    <w:rPr>
      <w:rFonts w:ascii="Times New Roman" w:hAnsi="Times New Roman"/>
      <w:b/>
      <w:bCs/>
      <w:kern w:val="2"/>
      <w:sz w:val="32"/>
      <w:szCs w:val="32"/>
    </w:rPr>
  </w:style>
  <w:style w:type="character" w:customStyle="1" w:styleId="33">
    <w:name w:val="n1"/>
    <w:basedOn w:val="15"/>
    <w:uiPriority w:val="0"/>
  </w:style>
  <w:style w:type="character" w:customStyle="1" w:styleId="34">
    <w:name w:val="a2"/>
    <w:basedOn w:val="15"/>
    <w:uiPriority w:val="0"/>
  </w:style>
  <w:style w:type="character" w:customStyle="1" w:styleId="35">
    <w:name w:val="n5"/>
    <w:basedOn w:val="15"/>
    <w:uiPriority w:val="0"/>
  </w:style>
  <w:style w:type="character" w:customStyle="1" w:styleId="36">
    <w:name w:val="n3"/>
    <w:basedOn w:val="15"/>
    <w:uiPriority w:val="0"/>
  </w:style>
  <w:style w:type="character" w:customStyle="1" w:styleId="37">
    <w:name w:val="line"/>
    <w:basedOn w:val="15"/>
    <w:uiPriority w:val="0"/>
  </w:style>
  <w:style w:type="character" w:customStyle="1" w:styleId="38">
    <w:name w:val="line1"/>
    <w:basedOn w:val="15"/>
    <w:uiPriority w:val="0"/>
  </w:style>
  <w:style w:type="character" w:customStyle="1" w:styleId="39">
    <w:name w:val="n4"/>
    <w:basedOn w:val="15"/>
    <w:uiPriority w:val="0"/>
  </w:style>
  <w:style w:type="character" w:customStyle="1" w:styleId="40">
    <w:name w:val="n2"/>
    <w:basedOn w:val="15"/>
    <w:uiPriority w:val="0"/>
  </w:style>
  <w:style w:type="character" w:customStyle="1" w:styleId="41">
    <w:name w:val="a1"/>
    <w:basedOn w:val="15"/>
    <w:uiPriority w:val="0"/>
  </w:style>
  <w:style w:type="character" w:customStyle="1" w:styleId="42">
    <w:name w:val="a3"/>
    <w:basedOn w:val="15"/>
    <w:uiPriority w:val="0"/>
  </w:style>
  <w:style w:type="character" w:customStyle="1" w:styleId="43">
    <w:name w:val="a4"/>
    <w:basedOn w:val="15"/>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rgbClr val="595959">
                    <a:lumMod val="65000"/>
                    <a:lumOff val="35000"/>
                  </a:srgbClr>
                </a:solidFill>
                <a:latin typeface="+mn-lt"/>
                <a:ea typeface="+mn-ea"/>
                <a:cs typeface="+mn-cs"/>
              </a:defRPr>
            </a:pPr>
            <a:r>
              <a:t>近三年医疗收支情况</a:t>
            </a:r>
          </a:p>
        </c:rich>
      </c:tx>
      <c:layout/>
      <c:overlay val="0"/>
      <c:spPr>
        <a:noFill/>
        <a:ln>
          <a:noFill/>
        </a:ln>
        <a:effectLst/>
      </c:spPr>
    </c:title>
    <c:autoTitleDeleted val="0"/>
    <c:plotArea>
      <c:layout>
        <c:manualLayout>
          <c:layoutTarget val="inner"/>
          <c:xMode val="edge"/>
          <c:yMode val="edge"/>
          <c:x val="0.0506399695856039"/>
          <c:y val="0.206553714392106"/>
          <c:w val="0.892333037637815"/>
          <c:h val="0.683373673431391"/>
        </c:manualLayout>
      </c:layout>
      <c:barChart>
        <c:barDir val="col"/>
        <c:grouping val="clustered"/>
        <c:varyColors val="0"/>
        <c:ser>
          <c:idx val="0"/>
          <c:order val="0"/>
          <c:tx>
            <c:strRef>
              <c:f>Sheet1!$B$1</c:f>
              <c:strCache>
                <c:ptCount val="1"/>
                <c:pt idx="0">
                  <c:v>2016年</c:v>
                </c:pt>
              </c:strCache>
            </c:strRef>
          </c:tx>
          <c:spPr>
            <a:solidFill>
              <a:srgbClr val="4F81BD"/>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rgbClr val="808080">
                        <a:lumMod val="50000"/>
                        <a:lumOff val="50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rgbClr val="A6A6A6">
                          <a:lumMod val="35000"/>
                          <a:lumOff val="65000"/>
                        </a:srgbClr>
                      </a:solidFill>
                    </a:ln>
                    <a:effectLst/>
                  </c:spPr>
                </c15:leaderLines>
              </c:ext>
            </c:extLst>
          </c:dLbls>
          <c:cat>
            <c:strRef>
              <c:f>Sheet1!$A$2:$A$5</c:f>
              <c:strCache>
                <c:ptCount val="4"/>
                <c:pt idx="0">
                  <c:v>12月单月收入</c:v>
                </c:pt>
                <c:pt idx="1">
                  <c:v>1-12月收入</c:v>
                </c:pt>
                <c:pt idx="2">
                  <c:v>12月单月医疗支出</c:v>
                </c:pt>
                <c:pt idx="3">
                  <c:v>1-12月医疗支出</c:v>
                </c:pt>
              </c:strCache>
            </c:strRef>
          </c:cat>
          <c:val>
            <c:numRef>
              <c:f>Sheet1!$B$2:$B$5</c:f>
              <c:numCache>
                <c:formatCode>General</c:formatCode>
                <c:ptCount val="4"/>
                <c:pt idx="0">
                  <c:v>485.85</c:v>
                </c:pt>
                <c:pt idx="1">
                  <c:v>5957.03</c:v>
                </c:pt>
                <c:pt idx="2">
                  <c:v>685.55</c:v>
                </c:pt>
                <c:pt idx="3">
                  <c:v>6461.26</c:v>
                </c:pt>
              </c:numCache>
            </c:numRef>
          </c:val>
        </c:ser>
        <c:ser>
          <c:idx val="1"/>
          <c:order val="1"/>
          <c:tx>
            <c:strRef>
              <c:f>Sheet1!$C$1</c:f>
              <c:strCache>
                <c:ptCount val="1"/>
                <c:pt idx="0">
                  <c:v>2017年</c:v>
                </c:pt>
              </c:strCache>
            </c:strRef>
          </c:tx>
          <c:spPr>
            <a:solidFill>
              <a:srgbClr val="C0504D"/>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rgbClr val="808080">
                        <a:lumMod val="50000"/>
                        <a:lumOff val="50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rgbClr val="A6A6A6">
                          <a:lumMod val="35000"/>
                          <a:lumOff val="65000"/>
                        </a:srgbClr>
                      </a:solidFill>
                    </a:ln>
                    <a:effectLst/>
                  </c:spPr>
                </c15:leaderLines>
              </c:ext>
            </c:extLst>
          </c:dLbls>
          <c:cat>
            <c:strRef>
              <c:f>Sheet1!$A$2:$A$5</c:f>
              <c:strCache>
                <c:ptCount val="4"/>
                <c:pt idx="0">
                  <c:v>12月单月收入</c:v>
                </c:pt>
                <c:pt idx="1">
                  <c:v>1-12月收入</c:v>
                </c:pt>
                <c:pt idx="2">
                  <c:v>12月单月医疗支出</c:v>
                </c:pt>
                <c:pt idx="3">
                  <c:v>1-12月医疗支出</c:v>
                </c:pt>
              </c:strCache>
            </c:strRef>
          </c:cat>
          <c:val>
            <c:numRef>
              <c:f>Sheet1!$C$2:$C$5</c:f>
              <c:numCache>
                <c:formatCode>General</c:formatCode>
                <c:ptCount val="4"/>
                <c:pt idx="0">
                  <c:v>680.35</c:v>
                </c:pt>
                <c:pt idx="1">
                  <c:v>7863.43</c:v>
                </c:pt>
                <c:pt idx="2">
                  <c:v>1076.27</c:v>
                </c:pt>
                <c:pt idx="3">
                  <c:v>8127.94</c:v>
                </c:pt>
              </c:numCache>
            </c:numRef>
          </c:val>
        </c:ser>
        <c:ser>
          <c:idx val="2"/>
          <c:order val="2"/>
          <c:tx>
            <c:strRef>
              <c:f>Sheet1!$D$1</c:f>
              <c:strCache>
                <c:ptCount val="1"/>
                <c:pt idx="0">
                  <c:v>2018年</c:v>
                </c:pt>
              </c:strCache>
            </c:strRef>
          </c:tx>
          <c:spPr>
            <a:solidFill>
              <a:srgbClr val="9BBB59"/>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rgbClr val="808080">
                        <a:lumMod val="50000"/>
                        <a:lumOff val="50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rgbClr val="A6A6A6">
                          <a:lumMod val="35000"/>
                          <a:lumOff val="65000"/>
                        </a:srgbClr>
                      </a:solidFill>
                    </a:ln>
                    <a:effectLst/>
                  </c:spPr>
                </c15:leaderLines>
              </c:ext>
            </c:extLst>
          </c:dLbls>
          <c:cat>
            <c:strRef>
              <c:f>Sheet1!$A$2:$A$5</c:f>
              <c:strCache>
                <c:ptCount val="4"/>
                <c:pt idx="0">
                  <c:v>12月单月收入</c:v>
                </c:pt>
                <c:pt idx="1">
                  <c:v>1-12月收入</c:v>
                </c:pt>
                <c:pt idx="2">
                  <c:v>12月单月医疗支出</c:v>
                </c:pt>
                <c:pt idx="3">
                  <c:v>1-12月医疗支出</c:v>
                </c:pt>
              </c:strCache>
            </c:strRef>
          </c:cat>
          <c:val>
            <c:numRef>
              <c:f>Sheet1!$D$2:$D$5</c:f>
              <c:numCache>
                <c:formatCode>General</c:formatCode>
                <c:ptCount val="4"/>
                <c:pt idx="0">
                  <c:v>747.34</c:v>
                </c:pt>
                <c:pt idx="1">
                  <c:v>9772.72</c:v>
                </c:pt>
                <c:pt idx="2">
                  <c:v>1227.59</c:v>
                </c:pt>
                <c:pt idx="3">
                  <c:v>9959.66</c:v>
                </c:pt>
              </c:numCache>
            </c:numRef>
          </c:val>
        </c:ser>
        <c:dLbls>
          <c:showLegendKey val="0"/>
          <c:showVal val="1"/>
          <c:showCatName val="0"/>
          <c:showSerName val="0"/>
          <c:showPercent val="0"/>
          <c:showBubbleSize val="0"/>
        </c:dLbls>
        <c:gapWidth val="444"/>
        <c:overlap val="-90"/>
        <c:axId val="234156902"/>
        <c:axId val="652512636"/>
      </c:barChart>
      <c:catAx>
        <c:axId val="234156902"/>
        <c:scaling>
          <c:orientation val="minMax"/>
        </c:scaling>
        <c:delete val="0"/>
        <c:axPos val="b"/>
        <c:majorGridlines>
          <c:spPr>
            <a:ln w="9525" cap="flat" cmpd="sng" algn="ctr">
              <a:solidFill>
                <a:srgbClr val="D9D9D9">
                  <a:lumMod val="15000"/>
                  <a:lumOff val="85000"/>
                </a:srgbClr>
              </a:solidFill>
              <a:round/>
            </a:ln>
            <a:effectLst/>
          </c:spPr>
        </c:majorGridlines>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800" b="0" i="0" u="none" strike="noStrike" kern="1200" cap="all" spc="120" normalizeH="0" baseline="0">
                <a:solidFill>
                  <a:srgbClr val="595959">
                    <a:lumMod val="65000"/>
                    <a:lumOff val="35000"/>
                  </a:srgbClr>
                </a:solidFill>
                <a:latin typeface="+mn-lt"/>
                <a:ea typeface="+mn-ea"/>
                <a:cs typeface="+mn-cs"/>
              </a:defRPr>
            </a:pPr>
          </a:p>
        </c:txPr>
        <c:crossAx val="652512636"/>
        <c:crosses val="autoZero"/>
        <c:auto val="1"/>
        <c:lblAlgn val="ctr"/>
        <c:lblOffset val="100"/>
        <c:noMultiLvlLbl val="0"/>
      </c:catAx>
      <c:valAx>
        <c:axId val="652512636"/>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34156902"/>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18</a:t>
            </a:r>
            <a:r>
              <a:rPr altLang="en-US"/>
              <a:t>年医疗收入</a:t>
            </a:r>
            <a:r>
              <a:t>明细</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plotArea>
      <c:layout/>
      <c:pieChart>
        <c:varyColors val="1"/>
        <c:ser>
          <c:idx val="0"/>
          <c:order val="0"/>
          <c:tx>
            <c:strRef>
              <c:f>Sheet1!$B$1</c:f>
              <c:strCache>
                <c:ptCount val="1"/>
                <c:pt idx="0">
                  <c:v>各项收入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医疗收入</c:v>
                </c:pt>
                <c:pt idx="1">
                  <c:v>财政拨款收入</c:v>
                </c:pt>
                <c:pt idx="2">
                  <c:v>其他收入</c:v>
                </c:pt>
              </c:strCache>
            </c:strRef>
          </c:cat>
          <c:val>
            <c:numRef>
              <c:f>Sheet1!$B$2:$B$4</c:f>
              <c:numCache>
                <c:formatCode>General</c:formatCode>
                <c:ptCount val="3"/>
                <c:pt idx="0">
                  <c:v>98263969.33</c:v>
                </c:pt>
                <c:pt idx="1">
                  <c:v>5797399.44</c:v>
                </c:pt>
                <c:pt idx="2">
                  <c:v>854576.34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医疗支出明细</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医疗业务成本</c:v>
                </c:pt>
                <c:pt idx="1">
                  <c:v>管理费用</c:v>
                </c:pt>
                <c:pt idx="2">
                  <c:v>财政拨款支出</c:v>
                </c:pt>
                <c:pt idx="3">
                  <c:v>其他支出</c:v>
                </c:pt>
              </c:strCache>
            </c:strRef>
          </c:cat>
          <c:val>
            <c:numRef>
              <c:f>Sheet1!$B$2:$B$5</c:f>
              <c:numCache>
                <c:formatCode>General</c:formatCode>
                <c:ptCount val="4"/>
                <c:pt idx="0">
                  <c:v>86300914.77</c:v>
                </c:pt>
                <c:pt idx="1">
                  <c:v>13366193.31</c:v>
                </c:pt>
                <c:pt idx="2">
                  <c:v>2643880</c:v>
                </c:pt>
                <c:pt idx="3">
                  <c:v>757452.68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财政补助收、支表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财政补助收入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Sheet1!$B$2:$B$3</c:f>
              <c:numCache>
                <c:formatCode>General</c:formatCode>
                <c:ptCount val="2"/>
                <c:pt idx="0">
                  <c:v>2014899.8</c:v>
                </c:pt>
                <c:pt idx="1">
                  <c:v>5797399.44</c:v>
                </c:pt>
              </c:numCache>
            </c:numRef>
          </c:val>
        </c:ser>
        <c:ser>
          <c:idx val="1"/>
          <c:order val="1"/>
          <c:tx>
            <c:strRef>
              <c:f>Sheet1!$C$1</c:f>
              <c:strCache>
                <c:ptCount val="1"/>
                <c:pt idx="0">
                  <c:v>财政补助支出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Sheet1!$C$2:$C$3</c:f>
              <c:numCache>
                <c:formatCode>General</c:formatCode>
                <c:ptCount val="2"/>
                <c:pt idx="0">
                  <c:v>1634899.8</c:v>
                </c:pt>
                <c:pt idx="1">
                  <c:v>3169403.44</c:v>
                </c:pt>
              </c:numCache>
            </c:numRef>
          </c:val>
        </c:ser>
        <c:dLbls>
          <c:showLegendKey val="0"/>
          <c:showVal val="1"/>
          <c:showCatName val="0"/>
          <c:showSerName val="0"/>
          <c:showPercent val="0"/>
          <c:showBubbleSize val="0"/>
        </c:dLbls>
        <c:gapWidth val="219"/>
        <c:overlap val="-27"/>
        <c:axId val="119850452"/>
        <c:axId val="14314362"/>
      </c:barChart>
      <c:catAx>
        <c:axId val="1198504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314362"/>
        <c:crosses val="autoZero"/>
        <c:auto val="1"/>
        <c:lblAlgn val="ctr"/>
        <c:lblOffset val="100"/>
        <c:noMultiLvlLbl val="0"/>
      </c:catAx>
      <c:valAx>
        <c:axId val="1431436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98504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一般预算支出</a:t>
            </a:r>
          </a:p>
        </c:rich>
      </c:tx>
      <c:layout/>
      <c:overlay val="0"/>
      <c:spPr>
        <a:noFill/>
        <a:ln>
          <a:noFill/>
        </a:ln>
        <a:effectLst/>
      </c:spPr>
    </c:title>
    <c:autoTitleDeleted val="0"/>
    <c:plotArea>
      <c:layout>
        <c:manualLayout>
          <c:layoutTarget val="inner"/>
          <c:xMode val="edge"/>
          <c:yMode val="edge"/>
          <c:x val="0.0692"/>
          <c:y val="0.1295"/>
          <c:w val="0.905175"/>
          <c:h val="0.7129"/>
        </c:manualLayout>
      </c:layout>
      <c:barChart>
        <c:barDir val="col"/>
        <c:grouping val="stacked"/>
        <c:varyColors val="0"/>
        <c:ser>
          <c:idx val="0"/>
          <c:order val="0"/>
          <c:tx>
            <c:strRef>
              <c:f>Sheet1!$B$1</c:f>
              <c:strCache>
                <c:ptCount val="1"/>
                <c:pt idx="0">
                  <c:v>一般预算支出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Sheet1!$B$2:$B$3</c:f>
              <c:numCache>
                <c:formatCode>General</c:formatCode>
                <c:ptCount val="2"/>
                <c:pt idx="0">
                  <c:v>163</c:v>
                </c:pt>
                <c:pt idx="1">
                  <c:v>316</c:v>
                </c:pt>
              </c:numCache>
            </c:numRef>
          </c:val>
        </c:ser>
        <c:dLbls>
          <c:showLegendKey val="0"/>
          <c:showVal val="1"/>
          <c:showCatName val="0"/>
          <c:showSerName val="0"/>
          <c:showPercent val="0"/>
          <c:showBubbleSize val="0"/>
        </c:dLbls>
        <c:gapWidth val="219"/>
        <c:overlap val="100"/>
        <c:axId val="293738271"/>
        <c:axId val="829537290"/>
      </c:barChart>
      <c:catAx>
        <c:axId val="29373827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9537290"/>
        <c:crosses val="autoZero"/>
        <c:auto val="1"/>
        <c:lblAlgn val="ctr"/>
        <c:lblOffset val="100"/>
        <c:noMultiLvlLbl val="0"/>
      </c:catAx>
      <c:valAx>
        <c:axId val="8295372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37382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一般预算公共拨款支出</a:t>
            </a:r>
          </a:p>
        </c:rich>
      </c:tx>
      <c:layout/>
      <c:overlay val="0"/>
      <c:spPr>
        <a:noFill/>
        <a:ln>
          <a:noFill/>
        </a:ln>
        <a:effectLst/>
      </c:spPr>
    </c:title>
    <c:autoTitleDeleted val="0"/>
    <c:plotArea>
      <c:layout/>
      <c:pieChart>
        <c:varyColors val="1"/>
        <c:ser>
          <c:idx val="0"/>
          <c:order val="0"/>
          <c:tx>
            <c:strRef>
              <c:f>Sheet1!$B$1</c:f>
              <c:strCache>
                <c:ptCount val="1"/>
                <c:pt idx="0">
                  <c:v>支出额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elete val="1"/>
          </c:dLbls>
          <c:cat>
            <c:strRef>
              <c:f>Sheet1!$A$2:$A$11</c:f>
              <c:strCache>
                <c:ptCount val="10"/>
                <c:pt idx="0">
                  <c:v>其他组织事务支出</c:v>
                </c:pt>
                <c:pt idx="1">
                  <c:v>其他行政事业单位离退休支出</c:v>
                </c:pt>
                <c:pt idx="2">
                  <c:v>死亡抚恤</c:v>
                </c:pt>
                <c:pt idx="3">
                  <c:v>中医（民族）医院</c:v>
                </c:pt>
                <c:pt idx="4">
                  <c:v>处理医疗欠费</c:v>
                </c:pt>
                <c:pt idx="5">
                  <c:v>其他公立医院支出</c:v>
                </c:pt>
                <c:pt idx="6">
                  <c:v>中医（民族医）药专项</c:v>
                </c:pt>
                <c:pt idx="7">
                  <c:v>公务员医疗补助</c:v>
                </c:pt>
                <c:pt idx="8">
                  <c:v>其他医疗卫生与计划生育支出</c:v>
                </c:pt>
                <c:pt idx="9">
                  <c:v>其他扶贫支出</c:v>
                </c:pt>
              </c:strCache>
            </c:strRef>
          </c:cat>
          <c:val>
            <c:numRef>
              <c:f>Sheet1!$B$2:$B$11</c:f>
              <c:numCache>
                <c:formatCode>General</c:formatCode>
                <c:ptCount val="10"/>
                <c:pt idx="0">
                  <c:v>4.7</c:v>
                </c:pt>
                <c:pt idx="1">
                  <c:v>45.9</c:v>
                </c:pt>
                <c:pt idx="2">
                  <c:v>2.21</c:v>
                </c:pt>
                <c:pt idx="3">
                  <c:v>3</c:v>
                </c:pt>
                <c:pt idx="4">
                  <c:v>6.5</c:v>
                </c:pt>
                <c:pt idx="5">
                  <c:v>77.44</c:v>
                </c:pt>
                <c:pt idx="6">
                  <c:v>160</c:v>
                </c:pt>
                <c:pt idx="7">
                  <c:v>4.44</c:v>
                </c:pt>
                <c:pt idx="8">
                  <c:v>10</c:v>
                </c:pt>
                <c:pt idx="9">
                  <c:v>2.75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rgbClr val="595959">
        <a:lumMod val="65000"/>
        <a:lumOff val="35000"/>
      </a:srgbClr>
    </cs:fontRef>
    <cs:defRPr sz="900" kern="1200" cap="all"/>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800" kern="1200" cap="all" spc="120" normalizeH="0" baseline="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808080">
        <a:lumMod val="50000"/>
        <a:lumOff val="50000"/>
      </a:srgb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solidFill>
    </cs:spPr>
  </cs:dataPoint>
  <cs:dataPoint3D>
    <cs:lnRef idx="0"/>
    <cs:fillRef idx="0">
      <cs:styleClr val="auto"/>
    </cs:fillRef>
    <cs:effectRef idx="0"/>
    <cs:fontRef idx="minor">
      <a:srgbClr val="000000"/>
    </cs:fontRef>
    <cs:spPr>
      <a:solidFill>
        <a:srgbClr val="FFFFFF"/>
      </a:solidFill>
    </cs:spPr>
  </cs:dataPoint3D>
  <cs:dataPointLine>
    <cs:lnRef idx="0">
      <cs:styleClr val="auto"/>
    </cs:lnRef>
    <cs:fillRef idx="0"/>
    <cs:effectRef idx="0"/>
    <cs:fontRef idx="minor">
      <a:srgbClr val="000000"/>
    </cs:fontRef>
    <cs:spPr>
      <a:ln w="22225" cap="rnd">
        <a:solidFill>
          <a:srgbClr val="FFFFFF"/>
        </a:solidFill>
        <a:round/>
      </a:ln>
    </cs:spPr>
  </cs:dataPointLine>
  <cs:dataPointMarker>
    <cs:lnRef idx="0">
      <cs:styleClr val="auto"/>
    </cs:lnRef>
    <cs:fillRef idx="0">
      <cs:styleClr val="auto"/>
    </cs:fillRef>
    <cs:effectRef idx="0"/>
    <cs:fontRef idx="minor">
      <a:srgbClr val="000000"/>
    </cs:fontRef>
    <cs:spPr>
      <a:solidFill>
        <a:srgbClr val="FFFFFF"/>
      </a:solidFill>
      <a:ln w="9525">
        <a:solidFill>
          <a:srgbClr val="FFFFFF"/>
        </a:solidFill>
        <a:round/>
      </a:ln>
    </cs:spPr>
  </cs:dataPointMarker>
  <cs:dataPointMarkerLayout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ln w="9525">
        <a:solidFill>
          <a:srgbClr val="D9D9D9">
            <a:lumMod val="15000"/>
            <a:lumOff val="85000"/>
          </a:srgbClr>
        </a:solidFill>
      </a:ln>
    </cs:spPr>
    <cs:defRPr sz="900" kern="1200"/>
  </cs:dataTable>
  <cs:downBar>
    <cs:lnRef idx="0"/>
    <cs:fillRef idx="0"/>
    <cs:effectRef idx="0"/>
    <cs:fontRef idx="minor">
      <a:srgbClr val="000000"/>
    </cs:fontRef>
    <cs:spPr>
      <a:solidFill>
        <a:srgbClr val="404040">
          <a:lumMod val="75000"/>
          <a:lumOff val="25000"/>
        </a:srgbClr>
      </a:solidFill>
      <a:ln w="9525">
        <a:solidFill>
          <a:srgbClr val="D9D9D9">
            <a:lumMod val="15000"/>
            <a:lumOff val="85000"/>
          </a:srgbClr>
        </a:solidFill>
      </a:ln>
    </cs:spPr>
  </cs:downBar>
  <cs:dropLine>
    <cs:lnRef idx="0"/>
    <cs:fillRef idx="0"/>
    <cs:effectRef idx="0"/>
    <cs:fontRef idx="minor">
      <a:srgbClr val="000000"/>
    </cs:fontRef>
    <cs:spPr>
      <a:ln w="9525">
        <a:solidFill>
          <a:srgbClr val="A6A6A6">
            <a:lumMod val="35000"/>
            <a:lumOff val="65000"/>
          </a:srgbClr>
        </a:solidFill>
      </a:ln>
    </cs:spPr>
  </cs:dropLine>
  <cs:errorBar>
    <cs:lnRef idx="0"/>
    <cs:fillRef idx="0"/>
    <cs:effectRef idx="0"/>
    <cs:fontRef idx="minor">
      <a:srgbClr val="000000"/>
    </cs:fontRef>
    <cs:spPr>
      <a:ln w="9525">
        <a:solidFill>
          <a:srgbClr val="595959">
            <a:lumMod val="65000"/>
            <a:lumOff val="35000"/>
          </a:srgbClr>
        </a:solidFill>
        <a:round/>
      </a:ln>
    </cs:spPr>
  </cs:errorBar>
  <cs:floor>
    <cs:lnRef idx="0"/>
    <cs:fillRef idx="0"/>
    <cs:effectRef idx="0"/>
    <cs:fontRef idx="minor">
      <a:srgbClr val="000000"/>
    </cs:fontRef>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a:solidFill>
          <a:srgbClr val="F2F2F2">
            <a:lumMod val="5000"/>
            <a:lumOff val="95000"/>
          </a:srgbClr>
        </a:solidFill>
      </a:ln>
    </cs:spPr>
  </cs:gridlineMinor>
  <cs:hiLoLine>
    <cs:lnRef idx="0"/>
    <cs:fillRef idx="0"/>
    <cs:effectRef idx="0"/>
    <cs:fontRef idx="minor">
      <a:srgbClr val="000000"/>
    </cs:fontRef>
    <cs:spPr>
      <a:ln w="9525">
        <a:solidFill>
          <a:srgbClr val="808080">
            <a:lumMod val="50000"/>
            <a:lumOff val="50000"/>
          </a:srgbClr>
        </a:solidFill>
      </a:ln>
    </cs:spPr>
  </cs:hiLoLine>
  <cs:leaderLine>
    <cs:lnRef idx="0"/>
    <cs:fillRef idx="0"/>
    <cs:effectRef idx="0"/>
    <cs:fontRef idx="minor">
      <a:srgbClr val="000000"/>
    </cs:fontRef>
    <cs:spPr>
      <a:ln w="9525">
        <a:solidFill>
          <a:srgbClr val="A6A6A6">
            <a:lumMod val="35000"/>
            <a:lumOff val="65000"/>
          </a:srgbClr>
        </a:solidFill>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seriesAxis>
  <cs:seriesLine>
    <cs:lnRef idx="0"/>
    <cs:fillRef idx="0"/>
    <cs:effectRef idx="0"/>
    <cs:fontRef idx="minor">
      <a:srgbClr val="000000"/>
    </cs:fontRef>
    <cs:spPr>
      <a:ln w="9525">
        <a:solidFill>
          <a:srgbClr val="A6A6A6">
            <a:lumMod val="35000"/>
            <a:lumOff val="65000"/>
          </a:srgbClr>
        </a:solidFill>
        <a:round/>
      </a:ln>
    </cs:spPr>
  </cs:seriesLine>
  <cs:title>
    <cs:lnRef idx="0"/>
    <cs:fillRef idx="0"/>
    <cs:effectRef idx="0"/>
    <cs:fontRef idx="minor">
      <a:srgbClr val="595959">
        <a:lumMod val="65000"/>
        <a:lumOff val="35000"/>
      </a:srgbClr>
    </cs:fontRef>
    <cs:defRPr sz="1600" b="1" kern="1200" cap="all" spc="120" normalizeH="0" baseline="0"/>
  </cs:title>
  <cs:trendline>
    <cs:lnRef idx="0">
      <cs:styleClr val="auto"/>
    </cs:lnRef>
    <cs:fillRef idx="0"/>
    <cs:effectRef idx="0"/>
    <cs:fontRef idx="minor">
      <a:srgbClr val="000000"/>
    </cs:fontRef>
    <cs:spPr>
      <a:ln w="19050" cap="rnd">
        <a:solidFill>
          <a:srgbClr val="FFFFFF"/>
        </a:solidFill>
        <a:prstDash val="sysDash"/>
      </a:ln>
    </cs:spPr>
  </cs:trendline>
  <cs:trendlineLabel>
    <cs:lnRef idx="0"/>
    <cs:fillRef idx="0"/>
    <cs:effectRef idx="0"/>
    <cs:fontRef idx="minor">
      <a:srgbClr val="595959">
        <a:lumMod val="65000"/>
        <a:lumOff val="35000"/>
      </a:srgbClr>
    </cs:fontRef>
    <cs:defRPr sz="800" kern="1200"/>
  </cs:trendlineLabel>
  <cs:upBar>
    <cs:lnRef idx="0"/>
    <cs:fillRef idx="0"/>
    <cs:effectRef idx="0"/>
    <cs:fontRef idx="minor">
      <a:srgbClr val="000000"/>
    </cs:fontRef>
    <cs:spPr>
      <a:solidFill>
        <a:srgbClr val="FFFFFF"/>
      </a:solidFill>
      <a:ln w="9525">
        <a:solidFill>
          <a:srgbClr val="595959">
            <a:lumMod val="65000"/>
            <a:lumOff val="35000"/>
          </a:srgbClr>
        </a:solidFill>
      </a:ln>
    </cs:spPr>
  </cs:upBar>
  <cs:value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valueAxis>
  <cs:wall>
    <cs:lnRef idx="0"/>
    <cs:fillRef idx="0"/>
    <cs:effectRef idx="0"/>
    <cs:fontRef idx="minor">
      <a:srgbClr val="000000"/>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2</TotalTime>
  <ScaleCrop>false</ScaleCrop>
  <LinksUpToDate>false</LinksUpToDate>
  <CharactersWithSpaces>9641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ao</cp:lastModifiedBy>
  <cp:lastPrinted>2019-09-02T09:09:36Z</cp:lastPrinted>
  <dcterms:modified xsi:type="dcterms:W3CDTF">2019-09-02T09:10:23Z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